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10" w:rsidRDefault="002350C9" w:rsidP="00CD1B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Vzdelávanie v oblasti ľudských práv </w:t>
      </w:r>
      <w:r w:rsidR="00CD1B59" w:rsidRPr="00CD1B59">
        <w:rPr>
          <w:rFonts w:ascii="Times New Roman" w:hAnsi="Times New Roman" w:cs="Times New Roman"/>
          <w:b/>
          <w:sz w:val="32"/>
          <w:szCs w:val="32"/>
        </w:rPr>
        <w:t xml:space="preserve"> (vývoj ukazovateľov za desať rokov)</w:t>
      </w:r>
    </w:p>
    <w:p w:rsidR="00CD1B59" w:rsidRDefault="00CD1B59" w:rsidP="00CD1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Mgr. Marcela Bielikova</w:t>
      </w:r>
    </w:p>
    <w:p w:rsidR="002350C9" w:rsidRPr="00CD1B59" w:rsidRDefault="002350C9" w:rsidP="00CD1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Centrum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vedecko</w:t>
      </w:r>
      <w:proofErr w:type="spellEnd"/>
      <w:r w:rsidR="00BF29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-tec</w:t>
      </w:r>
      <w:r w:rsidR="00BF2969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nických informácií školstva, Staré grunty 52, 842 44 Bratislava</w:t>
      </w:r>
    </w:p>
    <w:p w:rsidR="00CD1B59" w:rsidRDefault="00CD1B59" w:rsidP="00CD1B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06E6C" w:rsidRDefault="00706E6C" w:rsidP="00CD1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B59" w:rsidRDefault="00CD1B59" w:rsidP="00CD1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B59">
        <w:rPr>
          <w:rFonts w:ascii="Times New Roman" w:hAnsi="Times New Roman" w:cs="Times New Roman"/>
          <w:b/>
          <w:sz w:val="24"/>
          <w:szCs w:val="24"/>
        </w:rPr>
        <w:t>Anotácia</w:t>
      </w:r>
      <w:r w:rsidR="00706E6C">
        <w:rPr>
          <w:rFonts w:ascii="Times New Roman" w:hAnsi="Times New Roman" w:cs="Times New Roman"/>
          <w:b/>
          <w:sz w:val="24"/>
          <w:szCs w:val="24"/>
        </w:rPr>
        <w:t>:</w:t>
      </w:r>
    </w:p>
    <w:p w:rsidR="00706E6C" w:rsidRDefault="00706E6C" w:rsidP="00706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sumarizuje najzaujímavejšie výsledky kontinuálneho reprezentatívneho výskumu vzdelávania a uplatňovania ľudských práv žiakov základných a stredných škôl.</w:t>
      </w:r>
      <w:r w:rsidRPr="00CD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A62" w:rsidRDefault="00BE0A62" w:rsidP="00706E6C">
      <w:pPr>
        <w:pStyle w:val="Zarkazkladnhotextu2"/>
        <w:ind w:firstLine="0"/>
      </w:pPr>
      <w:r w:rsidRPr="009A3DD9">
        <w:t>Analýza súčasného stavu výučby k ľudským</w:t>
      </w:r>
      <w:r>
        <w:t xml:space="preserve"> právam, analýza jej kvality a </w:t>
      </w:r>
      <w:r w:rsidRPr="009A3DD9">
        <w:t xml:space="preserve"> európskeho rozmeru v oblasti vzdelávania ľudských práv, zmapovanie </w:t>
      </w:r>
      <w:r w:rsidRPr="009A3DD9">
        <w:rPr>
          <w:szCs w:val="24"/>
        </w:rPr>
        <w:t>záujmu žiakov o problematiku ľudských práv a ich schopnosti využívať získané p</w:t>
      </w:r>
      <w:r>
        <w:rPr>
          <w:szCs w:val="24"/>
        </w:rPr>
        <w:t>oznatky v reálnom živote, ako aj</w:t>
      </w:r>
      <w:r w:rsidRPr="009A3DD9">
        <w:rPr>
          <w:szCs w:val="24"/>
        </w:rPr>
        <w:t xml:space="preserve"> zistenie dodržiavania ľudských práv v školskom prostredí </w:t>
      </w:r>
      <w:r>
        <w:rPr>
          <w:szCs w:val="24"/>
        </w:rPr>
        <w:t xml:space="preserve">a komparácia údajov so zisteniami z predchádzajúceho obdobia (rokov 2005-2015) </w:t>
      </w:r>
      <w:r w:rsidRPr="009A3DD9">
        <w:t>prispeje k vytvoreniu celkového obrazu o vzdelávaní k ľudským právam v podmienkach regionálneho školstva, k napĺňaniu cieľov výchovy a vzdelávania, k špecifikácii  problémov vo vzdelá</w:t>
      </w:r>
      <w:r>
        <w:t>vaní v predmetnej oblasti a</w:t>
      </w:r>
      <w:r w:rsidRPr="009A3DD9">
        <w:t xml:space="preserve"> pri dodržiavaní ľudských práv v š</w:t>
      </w:r>
      <w:r>
        <w:t xml:space="preserve">kolách. </w:t>
      </w:r>
    </w:p>
    <w:p w:rsidR="00BF2969" w:rsidRDefault="00BF2969" w:rsidP="00EF7104">
      <w:pPr>
        <w:pStyle w:val="Nadpis1"/>
        <w:rPr>
          <w:sz w:val="30"/>
          <w:szCs w:val="30"/>
        </w:rPr>
      </w:pPr>
      <w:bookmarkStart w:id="1" w:name="_Toc447607018"/>
    </w:p>
    <w:p w:rsidR="00EF7104" w:rsidRPr="002C0761" w:rsidRDefault="00EF7104" w:rsidP="00BF2969">
      <w:pPr>
        <w:pStyle w:val="Nadpis1"/>
        <w:spacing w:before="0"/>
        <w:rPr>
          <w:sz w:val="30"/>
          <w:szCs w:val="30"/>
        </w:rPr>
      </w:pPr>
      <w:r>
        <w:rPr>
          <w:sz w:val="30"/>
          <w:szCs w:val="30"/>
        </w:rPr>
        <w:t>Ľudské</w:t>
      </w:r>
      <w:r w:rsidRPr="002C0761">
        <w:rPr>
          <w:sz w:val="30"/>
          <w:szCs w:val="30"/>
        </w:rPr>
        <w:t xml:space="preserve"> práv</w:t>
      </w:r>
      <w:r>
        <w:rPr>
          <w:sz w:val="30"/>
          <w:szCs w:val="30"/>
        </w:rPr>
        <w:t>a</w:t>
      </w:r>
      <w:r w:rsidRPr="002C0761">
        <w:rPr>
          <w:sz w:val="30"/>
          <w:szCs w:val="30"/>
        </w:rPr>
        <w:t xml:space="preserve"> v základných a stredných školách</w:t>
      </w:r>
      <w:bookmarkEnd w:id="1"/>
    </w:p>
    <w:p w:rsidR="00EF7104" w:rsidRPr="00B91662" w:rsidRDefault="00EF7104" w:rsidP="00EF7104">
      <w:pPr>
        <w:pStyle w:val="Zarkazkladnhotextu2"/>
        <w:ind w:firstLine="0"/>
      </w:pPr>
      <w:r w:rsidRPr="00D25692">
        <w:rPr>
          <w:szCs w:val="24"/>
        </w:rPr>
        <w:t>Výber výskumnej vzorky pre realizáciu výskumu žiakov základných a stred</w:t>
      </w:r>
      <w:r>
        <w:rPr>
          <w:szCs w:val="24"/>
        </w:rPr>
        <w:t xml:space="preserve">ných škôl zabezpečovala profesionálna </w:t>
      </w:r>
      <w:r w:rsidRPr="00D25692">
        <w:rPr>
          <w:szCs w:val="24"/>
        </w:rPr>
        <w:t xml:space="preserve">agentúra pre zber dát – Agentúra sociálnych analýz, s.r.o. Výberový súbor </w:t>
      </w:r>
      <w:r>
        <w:rPr>
          <w:szCs w:val="24"/>
        </w:rPr>
        <w:t xml:space="preserve">žiakov základných (7., 8. a 9. ročníka základnej školy) a </w:t>
      </w:r>
      <w:r w:rsidRPr="00D25692">
        <w:rPr>
          <w:szCs w:val="24"/>
        </w:rPr>
        <w:t xml:space="preserve">stredných škôl </w:t>
      </w:r>
      <w:r>
        <w:rPr>
          <w:szCs w:val="24"/>
        </w:rPr>
        <w:t xml:space="preserve">(1., 2. a 3. ročníka strednej školy) </w:t>
      </w:r>
      <w:r w:rsidRPr="00D25692">
        <w:rPr>
          <w:szCs w:val="24"/>
        </w:rPr>
        <w:t xml:space="preserve">bol utvorený voľným kvótovým výberom so </w:t>
      </w:r>
      <w:proofErr w:type="spellStart"/>
      <w:r w:rsidRPr="00D25692">
        <w:rPr>
          <w:szCs w:val="24"/>
        </w:rPr>
        <w:t>znáhodnením</w:t>
      </w:r>
      <w:proofErr w:type="spellEnd"/>
      <w:r w:rsidRPr="00D25692">
        <w:rPr>
          <w:szCs w:val="24"/>
        </w:rPr>
        <w:t xml:space="preserve"> v poslednom kroku zo základného s</w:t>
      </w:r>
      <w:r>
        <w:rPr>
          <w:szCs w:val="24"/>
        </w:rPr>
        <w:t>úboru mladých ľudí SR vo veku 13</w:t>
      </w:r>
      <w:r w:rsidRPr="00D25692">
        <w:rPr>
          <w:szCs w:val="24"/>
        </w:rPr>
        <w:t xml:space="preserve"> až 19 rokov. Výberovými kritériami boli pohlavie, vek, typ navštevovanej školy, ročník, veľkosť sídelnej jednotky a</w:t>
      </w:r>
      <w:r>
        <w:rPr>
          <w:szCs w:val="24"/>
        </w:rPr>
        <w:t> </w:t>
      </w:r>
      <w:r w:rsidRPr="00D25692">
        <w:rPr>
          <w:szCs w:val="24"/>
        </w:rPr>
        <w:t>kraj</w:t>
      </w:r>
      <w:r>
        <w:rPr>
          <w:szCs w:val="24"/>
        </w:rPr>
        <w:t xml:space="preserve"> SR. </w:t>
      </w:r>
      <w:r w:rsidR="00270FBA">
        <w:rPr>
          <w:szCs w:val="24"/>
        </w:rPr>
        <w:t>Do výskumného súboru tak bolo zaradených 1228 žiakov základných škôl a 1084 žiakov stredných škôl (798 zo stredných odborných škôl a 286 z gymnázií). Rozloženie podľa krajov SR</w:t>
      </w:r>
      <w:r w:rsidR="00F750CB">
        <w:rPr>
          <w:szCs w:val="24"/>
        </w:rPr>
        <w:t xml:space="preserve"> bolo nasledovné: Bratislavský kraj</w:t>
      </w:r>
      <w:r w:rsidR="00270FBA">
        <w:rPr>
          <w:szCs w:val="24"/>
        </w:rPr>
        <w:t xml:space="preserve"> 11,6%, Trnavský 13,9%, Trenčiansky 14,3%, Nitriansky 11,9%, Žilinský 11,3%, Banskobystrický 12,0%, Prešovský 12,3% a </w:t>
      </w:r>
      <w:r w:rsidR="00F750CB">
        <w:rPr>
          <w:szCs w:val="24"/>
        </w:rPr>
        <w:t xml:space="preserve"> </w:t>
      </w:r>
      <w:r w:rsidR="00270FBA">
        <w:rPr>
          <w:szCs w:val="24"/>
        </w:rPr>
        <w:t xml:space="preserve">Košický </w:t>
      </w:r>
      <w:r w:rsidR="00F750CB">
        <w:rPr>
          <w:szCs w:val="24"/>
        </w:rPr>
        <w:t xml:space="preserve">kraj 12,8%. </w:t>
      </w:r>
      <w:r w:rsidR="00270FBA">
        <w:rPr>
          <w:szCs w:val="24"/>
        </w:rPr>
        <w:t xml:space="preserve"> </w:t>
      </w:r>
      <w:r>
        <w:rPr>
          <w:szCs w:val="24"/>
        </w:rPr>
        <w:t>Zber empirických dát sa uskutočňoval</w:t>
      </w:r>
      <w:r w:rsidRPr="00D25692">
        <w:rPr>
          <w:szCs w:val="24"/>
        </w:rPr>
        <w:t xml:space="preserve"> met</w:t>
      </w:r>
      <w:r w:rsidR="00F750CB">
        <w:rPr>
          <w:szCs w:val="24"/>
        </w:rPr>
        <w:t>ódou  dotazníka</w:t>
      </w:r>
      <w:r w:rsidRPr="00D25692">
        <w:rPr>
          <w:szCs w:val="24"/>
        </w:rPr>
        <w:t xml:space="preserve">. Po </w:t>
      </w:r>
      <w:r>
        <w:rPr>
          <w:szCs w:val="24"/>
        </w:rPr>
        <w:t>kontrole</w:t>
      </w:r>
      <w:r w:rsidRPr="00D25692">
        <w:rPr>
          <w:szCs w:val="24"/>
        </w:rPr>
        <w:t xml:space="preserve"> </w:t>
      </w:r>
      <w:r w:rsidR="00270FBA">
        <w:rPr>
          <w:szCs w:val="24"/>
        </w:rPr>
        <w:t xml:space="preserve">vyplnených </w:t>
      </w:r>
      <w:r w:rsidRPr="00D25692">
        <w:rPr>
          <w:szCs w:val="24"/>
        </w:rPr>
        <w:t>dotazníkov b</w:t>
      </w:r>
      <w:r>
        <w:rPr>
          <w:szCs w:val="24"/>
        </w:rPr>
        <w:t xml:space="preserve">olo štatisticky spracovaných </w:t>
      </w:r>
      <w:r>
        <w:t>2340</w:t>
      </w:r>
      <w:r w:rsidRPr="00393F1C">
        <w:t xml:space="preserve"> dotazníkov čo </w:t>
      </w:r>
      <w:r>
        <w:rPr>
          <w:szCs w:val="24"/>
        </w:rPr>
        <w:t>predstavuje 97,5</w:t>
      </w:r>
      <w:r w:rsidRPr="00393F1C">
        <w:rPr>
          <w:szCs w:val="24"/>
        </w:rPr>
        <w:t xml:space="preserve">% návratnosť. Získané výsledky tak </w:t>
      </w:r>
      <w:r>
        <w:rPr>
          <w:szCs w:val="24"/>
        </w:rPr>
        <w:t>možno považovať za reprezentatívne vzhľadom na populáciu mládeže.</w:t>
      </w:r>
    </w:p>
    <w:p w:rsidR="00B67D76" w:rsidRDefault="00B67D76" w:rsidP="00B67D76">
      <w:pPr>
        <w:pStyle w:val="Nadpis2"/>
        <w:spacing w:before="0" w:line="240" w:lineRule="auto"/>
        <w:rPr>
          <w:noProof/>
        </w:rPr>
      </w:pPr>
      <w:bookmarkStart w:id="2" w:name="_Toc447607020"/>
    </w:p>
    <w:p w:rsidR="00BF2969" w:rsidRPr="00BF2969" w:rsidRDefault="00BF2969" w:rsidP="00BF2969"/>
    <w:p w:rsidR="00B67D76" w:rsidRPr="00BF2969" w:rsidRDefault="00562A18" w:rsidP="00562A18">
      <w:pPr>
        <w:pStyle w:val="Nadpis2"/>
        <w:spacing w:before="0" w:line="240" w:lineRule="auto"/>
        <w:rPr>
          <w:noProof/>
        </w:rPr>
      </w:pPr>
      <w:r w:rsidRPr="00BF2969">
        <w:rPr>
          <w:noProof/>
        </w:rPr>
        <w:t>1.</w:t>
      </w:r>
      <w:r w:rsidR="00B67D76" w:rsidRPr="00BF2969">
        <w:rPr>
          <w:noProof/>
        </w:rPr>
        <w:t>Spôsob výučby ľudských práv v škole</w:t>
      </w:r>
      <w:bookmarkEnd w:id="2"/>
    </w:p>
    <w:p w:rsidR="00B67D76" w:rsidRPr="00642C13" w:rsidRDefault="00B67D76" w:rsidP="00B67D76">
      <w:pPr>
        <w:pStyle w:val="Zarkazkladnhotextu2"/>
        <w:ind w:firstLine="0"/>
        <w:rPr>
          <w:noProof/>
          <w:szCs w:val="24"/>
        </w:rPr>
      </w:pPr>
      <w:r w:rsidRPr="00642C13">
        <w:rPr>
          <w:noProof/>
          <w:szCs w:val="24"/>
        </w:rPr>
        <w:t xml:space="preserve">Výchova a vzdelávanie k ľudským právam je v súčasnej dobe v demokratických spoločnostiach samozrejmosťou a nevyhnutnosťou. Osvojenie si základných pojmov problematiky ľudských práv, formovanie hodnôt, názorov a postojov mladých ľudí je predpokladom dodržiavania a uplatňovania ľudských práv v celej spoločnosti. Cieľom výchovy a vzdelávania k ľudským právam v škole (a nielen v nich) je osvojiť si vedomosti a zručnosti, formovať postoje dôležité pre podporu ľudskej dôstojnosti, informovanosti </w:t>
      </w:r>
      <w:r w:rsidRPr="00642C13">
        <w:rPr>
          <w:noProof/>
          <w:szCs w:val="24"/>
        </w:rPr>
        <w:lastRenderedPageBreak/>
        <w:t>a participácie a to v súlade s hodnotami ako sú ľudské práva, rovnosť, pluralita a spravodlivosť.</w:t>
      </w:r>
      <w:r w:rsidRPr="00642C13">
        <w:rPr>
          <w:rStyle w:val="Odkaznapoznmkupodiarou"/>
          <w:noProof/>
          <w:szCs w:val="24"/>
        </w:rPr>
        <w:footnoteReference w:id="1"/>
      </w:r>
      <w:r w:rsidRPr="00642C13">
        <w:rPr>
          <w:noProof/>
          <w:szCs w:val="24"/>
        </w:rPr>
        <w:t xml:space="preserve"> </w:t>
      </w:r>
    </w:p>
    <w:p w:rsidR="00B67D76" w:rsidRPr="00642C13" w:rsidRDefault="00B67D76" w:rsidP="00B67D76">
      <w:pPr>
        <w:pStyle w:val="Nadpis3"/>
        <w:rPr>
          <w:noProof/>
        </w:rPr>
      </w:pPr>
      <w:bookmarkStart w:id="3" w:name="_Toc447607021"/>
      <w:r w:rsidRPr="00642C13">
        <w:rPr>
          <w:noProof/>
        </w:rPr>
        <w:t>Predmety zahŕňajúce problematiku ľudských práv</w:t>
      </w:r>
      <w:bookmarkEnd w:id="3"/>
    </w:p>
    <w:p w:rsidR="00B67D76" w:rsidRPr="00642C13" w:rsidRDefault="00B67D76" w:rsidP="00B67D7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2C13">
        <w:rPr>
          <w:rFonts w:ascii="Times New Roman" w:hAnsi="Times New Roman" w:cs="Times New Roman"/>
          <w:noProof/>
          <w:sz w:val="24"/>
          <w:szCs w:val="24"/>
        </w:rPr>
        <w:t xml:space="preserve">V učebných plánoch základných a stredných škôl nie je definovaný samostatný predmet pojednávajúci o ľudských právach. Problematika ľudských práv je v základných školách zahrnutá predovšetkým v predmetoch občianska výchova, etická výchova a náboženská výchova. V stredných školách je to v závislosti od typu strednej školy občianska náuka alebo náuka o spoločnosti a tiež etická a náboženská výchova. </w:t>
      </w:r>
    </w:p>
    <w:p w:rsidR="00072055" w:rsidRPr="00355F04" w:rsidRDefault="00072055" w:rsidP="0007205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Najviac žiakov preberalo problematiku ľudských práv na predmetoch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občianska výchova (73,1%) a etická výchova (19,2%)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. Percentuálne zastúpenie žiakov, ktorí uvádzali tieto dva predmety oproti minulému zberu dát v roku 2013 mierne kleslo. Paradoxne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však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stúpol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počet žiakov</w:t>
      </w:r>
      <w:r>
        <w:rPr>
          <w:rFonts w:ascii="Times New Roman" w:hAnsi="Times New Roman" w:cs="Times New Roman"/>
          <w:noProof/>
          <w:sz w:val="24"/>
          <w:szCs w:val="24"/>
        </w:rPr>
        <w:t>, ktorí uvádzali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ostatné predmety, ako zdroj informácii ľudskoprávnej proble</w:t>
      </w:r>
      <w:r w:rsidR="005F44AD">
        <w:rPr>
          <w:rFonts w:ascii="Times New Roman" w:hAnsi="Times New Roman" w:cs="Times New Roman"/>
          <w:noProof/>
          <w:sz w:val="24"/>
          <w:szCs w:val="24"/>
        </w:rPr>
        <w:t>matiky. 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vedená tendencia </w:t>
      </w:r>
      <w:r w:rsidR="005F44AD">
        <w:rPr>
          <w:rFonts w:ascii="Times New Roman" w:hAnsi="Times New Roman" w:cs="Times New Roman"/>
          <w:noProof/>
          <w:sz w:val="24"/>
          <w:szCs w:val="24"/>
        </w:rPr>
        <w:t>sa najvýraznejšie prejevila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 prípade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de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jepisu, ktorý až pätina (20,3%) žiakov označila za jeden z predmetov s obsahom ľudských práv. Hodnota je o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takmer</w:t>
      </w:r>
      <w:r w:rsidRPr="00355F04">
        <w:rPr>
          <w:rFonts w:ascii="Times New Roman" w:hAnsi="Times New Roman" w:cs="Times New Roman"/>
          <w:noProof/>
          <w:sz w:val="24"/>
          <w:szCs w:val="24"/>
        </w:rPr>
        <w:t> 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% vyššia ako pri zisťovavaní v roku 2013</w:t>
      </w:r>
      <w:r w:rsidRPr="00355F04">
        <w:rPr>
          <w:rFonts w:ascii="Times New Roman" w:hAnsi="Times New Roman" w:cs="Times New Roman"/>
          <w:noProof/>
          <w:sz w:val="24"/>
          <w:szCs w:val="24"/>
        </w:rPr>
        <w:t>.</w:t>
      </w:r>
      <w:r w:rsidRPr="00355F0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Nárast je zreteľný </w:t>
      </w:r>
      <w:r w:rsidRPr="00355F0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aj pri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vyučovacích </w:t>
      </w:r>
      <w:r w:rsidRPr="00355F04">
        <w:rPr>
          <w:rFonts w:ascii="Times New Roman" w:hAnsi="Times New Roman" w:cs="Times New Roman"/>
          <w:noProof/>
          <w:sz w:val="24"/>
          <w:szCs w:val="24"/>
          <w:lang w:val="en-US"/>
        </w:rPr>
        <w:t>predmetoch nábožens</w:t>
      </w:r>
      <w:r w:rsidR="005F44AD">
        <w:rPr>
          <w:rFonts w:ascii="Times New Roman" w:hAnsi="Times New Roman" w:cs="Times New Roman"/>
          <w:noProof/>
          <w:sz w:val="24"/>
          <w:szCs w:val="24"/>
          <w:lang w:val="en-US"/>
        </w:rPr>
        <w:t>tvo (10,6%), slovenský jazyk (5,</w:t>
      </w:r>
      <w:r w:rsidRPr="00355F04">
        <w:rPr>
          <w:rFonts w:ascii="Times New Roman" w:hAnsi="Times New Roman" w:cs="Times New Roman"/>
          <w:noProof/>
          <w:sz w:val="24"/>
          <w:szCs w:val="24"/>
          <w:lang w:val="en-US"/>
        </w:rPr>
        <w:t>6%), prírodovedn</w:t>
      </w:r>
      <w:r w:rsidRPr="00355F04">
        <w:rPr>
          <w:rFonts w:ascii="Times New Roman" w:hAnsi="Times New Roman" w:cs="Times New Roman"/>
          <w:noProof/>
          <w:sz w:val="24"/>
          <w:szCs w:val="24"/>
        </w:rPr>
        <w:t>é</w:t>
      </w:r>
      <w:r w:rsidRPr="00355F0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predmety (6</w:t>
      </w:r>
      <w:r w:rsidRPr="00355F04">
        <w:rPr>
          <w:rFonts w:ascii="Times New Roman" w:hAnsi="Times New Roman" w:cs="Times New Roman"/>
          <w:noProof/>
          <w:sz w:val="24"/>
          <w:szCs w:val="24"/>
        </w:rPr>
        <w:t>,2</w:t>
      </w:r>
      <w:r w:rsidRPr="00355F04">
        <w:rPr>
          <w:rFonts w:ascii="Times New Roman" w:hAnsi="Times New Roman" w:cs="Times New Roman"/>
          <w:noProof/>
          <w:sz w:val="24"/>
          <w:szCs w:val="24"/>
          <w:lang w:val="en-US"/>
        </w:rPr>
        <w:t>%) a ekonomika (2,2%). N</w:t>
      </w:r>
      <w:r w:rsidRPr="00355F04">
        <w:rPr>
          <w:rFonts w:ascii="Times New Roman" w:hAnsi="Times New Roman" w:cs="Times New Roman"/>
          <w:noProof/>
          <w:sz w:val="24"/>
          <w:szCs w:val="24"/>
        </w:rPr>
        <w:t>áuku o spoločnosti označilo iba 1,9</w:t>
      </w:r>
      <w:r w:rsidRPr="00355F04">
        <w:rPr>
          <w:rFonts w:ascii="Times New Roman" w:hAnsi="Times New Roman" w:cs="Times New Roman"/>
          <w:noProof/>
          <w:sz w:val="24"/>
          <w:szCs w:val="24"/>
          <w:lang w:val="en-US"/>
        </w:rPr>
        <w:t>% op</w:t>
      </w:r>
      <w:r w:rsidRPr="00355F04">
        <w:rPr>
          <w:rFonts w:ascii="Times New Roman" w:hAnsi="Times New Roman" w:cs="Times New Roman"/>
          <w:noProof/>
          <w:sz w:val="24"/>
          <w:szCs w:val="24"/>
        </w:rPr>
        <w:t>ýtaných. Až 13</w:t>
      </w:r>
      <w:r w:rsidRPr="00355F0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% </w:t>
      </w:r>
      <w:r>
        <w:rPr>
          <w:rFonts w:ascii="Times New Roman" w:hAnsi="Times New Roman" w:cs="Times New Roman"/>
          <w:noProof/>
          <w:sz w:val="24"/>
          <w:szCs w:val="24"/>
        </w:rPr>
        <w:t>žiakov je presvedčených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, že </w:t>
      </w:r>
      <w:r>
        <w:rPr>
          <w:rFonts w:ascii="Times New Roman" w:hAnsi="Times New Roman" w:cs="Times New Roman"/>
          <w:noProof/>
          <w:sz w:val="24"/>
          <w:szCs w:val="24"/>
        </w:rPr>
        <w:t>problematika ľudských práv sa v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ich škole preberá na inom predmete, ako poskytovali možnosti výberu.</w:t>
      </w:r>
    </w:p>
    <w:p w:rsidR="00D05094" w:rsidRDefault="00072055" w:rsidP="000720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9B619E">
        <w:rPr>
          <w:rFonts w:ascii="Times New Roman" w:hAnsi="Times New Roman" w:cs="Times New Roman"/>
          <w:noProof/>
          <w:sz w:val="24"/>
          <w:szCs w:val="24"/>
        </w:rPr>
        <w:t xml:space="preserve">keptickejší sú v súvislosti so vzdelávaním v oblasti ľudských práv žiaci stredných škôl.   Až takmer 10% (9,1%/98) stredoškolákov je presvedčených, že problematiku ľudských práv nepreberajú v žiadnom vyučovacom predmete, v základných školách názor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prezentovalo </w:t>
      </w:r>
      <w:r w:rsidRPr="009B619E">
        <w:rPr>
          <w:rFonts w:ascii="Times New Roman" w:hAnsi="Times New Roman" w:cs="Times New Roman"/>
          <w:noProof/>
          <w:sz w:val="24"/>
          <w:szCs w:val="24"/>
        </w:rPr>
        <w:t xml:space="preserve"> 88 žiakov tj. 7,2%</w:t>
      </w:r>
      <w:r>
        <w:rPr>
          <w:rFonts w:ascii="Times New Roman" w:hAnsi="Times New Roman" w:cs="Times New Roman"/>
          <w:noProof/>
          <w:sz w:val="24"/>
          <w:szCs w:val="24"/>
        </w:rPr>
        <w:t>, pričom</w:t>
      </w:r>
      <w:r w:rsidRPr="009B619E">
        <w:rPr>
          <w:rFonts w:ascii="Times New Roman" w:hAnsi="Times New Roman" w:cs="Times New Roman"/>
          <w:noProof/>
          <w:sz w:val="24"/>
          <w:szCs w:val="24"/>
        </w:rPr>
        <w:t> uvedené percento sa oproti predchádzajúcemu zisťovaniu v roku 2013 výrazne zvýšilo 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rok 2013 </w:t>
      </w:r>
      <w:r w:rsidRPr="009B619E">
        <w:rPr>
          <w:rFonts w:ascii="Times New Roman" w:hAnsi="Times New Roman" w:cs="Times New Roman"/>
          <w:noProof/>
          <w:sz w:val="24"/>
          <w:szCs w:val="24"/>
        </w:rPr>
        <w:t>45/3,7%). Prevažná väčšina oslovených žiakov, ako základných tak aj stredných škôl, označila predmet občiansku výchovu alebo občiansku náuku (ZŠ 81,2%, SŠ 64,2%), pričom zatiaľ čo v základných školách predmet vykazuje vysokú hodinovú dotáciu vo vyučovacom procese, v stredných školách je zastúpený menej a výučba ľudských práv sa v rámci súboru tém presúva aj do iných predmetov. Predmet občianska náuka v osnovách stredných škôl obsahuje poznatky viacerých spoločenskovedných disciplín, a to etiky, estetiky, psychológie ekonomiky, sociológie a filozofie.</w:t>
      </w:r>
    </w:p>
    <w:p w:rsidR="00072055" w:rsidRDefault="00072055" w:rsidP="000720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72055" w:rsidRPr="00642C13" w:rsidRDefault="00072055" w:rsidP="00072055">
      <w:pPr>
        <w:pStyle w:val="Nadpis3"/>
        <w:rPr>
          <w:noProof/>
        </w:rPr>
      </w:pPr>
      <w:bookmarkStart w:id="4" w:name="_Toc447607022"/>
      <w:r w:rsidRPr="00642C13">
        <w:rPr>
          <w:noProof/>
        </w:rPr>
        <w:t>Forma výučby ľudských práv na vyučovacej hodine</w:t>
      </w:r>
      <w:bookmarkEnd w:id="4"/>
    </w:p>
    <w:p w:rsidR="00072055" w:rsidRPr="00355F04" w:rsidRDefault="00072055" w:rsidP="0007205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Odpovede žiakov naznačujú, že učitelia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najčastejšie vyučujú podľa učebnice a výučbu dopĺňajú odbornými materiálmi (32,4</w:t>
      </w:r>
      <w:r w:rsidRPr="007F6B8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%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szCs w:val="24"/>
        </w:rPr>
        <w:t>Viac ako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 xml:space="preserve"> štvrtina žiakov (26,7%)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dokonca uviedla, že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učiteľ vyučuje problematiku ľudských práv na základe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 xml:space="preserve">odborných materiálov a pomôcok a výučbu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len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dopĺňa učebnicou predmetu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. Oproti minulému zberu dát </w:t>
      </w:r>
      <w:r>
        <w:rPr>
          <w:rFonts w:ascii="Times New Roman" w:hAnsi="Times New Roman" w:cs="Times New Roman"/>
          <w:noProof/>
          <w:sz w:val="24"/>
          <w:szCs w:val="24"/>
        </w:rPr>
        <w:t>v roku 2013 však podľa žiakov vz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rástlo percentuálne zastúpenie učiteľov, ktorí vyučujú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výhradne na základe učebnice a to až na jednu pätinu (20,8%).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Pre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5,3% žiakov sa výučba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problematik</w:t>
      </w:r>
      <w:r>
        <w:rPr>
          <w:rFonts w:ascii="Times New Roman" w:hAnsi="Times New Roman" w:cs="Times New Roman"/>
          <w:noProof/>
          <w:sz w:val="24"/>
          <w:szCs w:val="24"/>
        </w:rPr>
        <w:t>y ľudských práv v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ich školách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neuskutočňuje.</w:t>
      </w:r>
    </w:p>
    <w:p w:rsidR="00BF2969" w:rsidRDefault="00BF2969" w:rsidP="000720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F2969" w:rsidRDefault="00BF2969" w:rsidP="000720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F2969" w:rsidRDefault="00BF2969" w:rsidP="000720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F2969" w:rsidRDefault="00BF2969" w:rsidP="000720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F2969" w:rsidRDefault="00BF2969" w:rsidP="000720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F2969" w:rsidRDefault="00BF2969" w:rsidP="000720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F2969" w:rsidRDefault="00BF2969" w:rsidP="000720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72055" w:rsidRPr="00C62D7E" w:rsidRDefault="005F44AD" w:rsidP="000720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Graf č. 1</w:t>
      </w:r>
      <w:r w:rsidR="00072055" w:rsidRPr="00355F04">
        <w:rPr>
          <w:rFonts w:ascii="Times New Roman" w:hAnsi="Times New Roman" w:cs="Times New Roman"/>
          <w:b/>
          <w:noProof/>
          <w:sz w:val="20"/>
          <w:szCs w:val="20"/>
        </w:rPr>
        <w:t xml:space="preserve">  Formy  výučby ľudských práv (v %</w:t>
      </w:r>
      <w:r w:rsidR="00072055">
        <w:rPr>
          <w:rFonts w:ascii="Times New Roman" w:hAnsi="Times New Roman" w:cs="Times New Roman"/>
          <w:b/>
          <w:noProof/>
          <w:sz w:val="20"/>
          <w:szCs w:val="20"/>
        </w:rPr>
        <w:t xml:space="preserve">), </w:t>
      </w:r>
      <w:r w:rsidR="00440457">
        <w:rPr>
          <w:rFonts w:ascii="Times New Roman" w:hAnsi="Times New Roman" w:cs="Times New Roman"/>
          <w:b/>
          <w:noProof/>
          <w:sz w:val="20"/>
          <w:szCs w:val="20"/>
        </w:rPr>
        <w:t xml:space="preserve"> (modrá farba- údaje</w:t>
      </w:r>
      <w:r w:rsidR="00072055" w:rsidRPr="00355F04">
        <w:rPr>
          <w:rFonts w:ascii="Times New Roman" w:hAnsi="Times New Roman" w:cs="Times New Roman"/>
          <w:b/>
          <w:noProof/>
          <w:sz w:val="20"/>
          <w:szCs w:val="20"/>
        </w:rPr>
        <w:t xml:space="preserve"> z</w:t>
      </w:r>
      <w:r w:rsidR="00072055">
        <w:rPr>
          <w:rFonts w:ascii="Times New Roman" w:hAnsi="Times New Roman" w:cs="Times New Roman"/>
          <w:b/>
          <w:noProof/>
          <w:sz w:val="20"/>
          <w:szCs w:val="20"/>
        </w:rPr>
        <w:t>a rok 2013, zelená</w:t>
      </w:r>
      <w:r w:rsidR="00072055" w:rsidRPr="00355F04">
        <w:rPr>
          <w:rFonts w:ascii="Times New Roman" w:hAnsi="Times New Roman" w:cs="Times New Roman"/>
          <w:b/>
          <w:noProof/>
          <w:sz w:val="20"/>
          <w:szCs w:val="20"/>
        </w:rPr>
        <w:t xml:space="preserve"> za 2015)</w:t>
      </w:r>
    </w:p>
    <w:bookmarkStart w:id="5" w:name="_Toc447607023"/>
    <w:bookmarkEnd w:id="5"/>
    <w:p w:rsidR="00072055" w:rsidRPr="00BD44C3" w:rsidRDefault="00BF2969" w:rsidP="00072055">
      <w:pPr>
        <w:pStyle w:val="Nadpis3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642C13">
        <w:rPr>
          <w:rFonts w:ascii="Times New Roman" w:hAnsi="Times New Roman" w:cs="Times New Roman"/>
          <w:noProof/>
          <w:color w:val="FF0000"/>
          <w:sz w:val="24"/>
          <w:szCs w:val="24"/>
        </w:rPr>
        <w:object w:dxaOrig="9156" w:dyaOrig="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127.8pt" o:ole="">
            <v:imagedata r:id="rId9" o:title=""/>
          </v:shape>
          <o:OLEObject Type="Embed" ProgID="MSGraph.Chart.8" ShapeID="_x0000_i1025" DrawAspect="Content" ObjectID="_1556430726" r:id="rId10">
            <o:FieldCodes>\s</o:FieldCodes>
          </o:OLEObject>
        </w:object>
      </w:r>
    </w:p>
    <w:p w:rsidR="00072055" w:rsidRPr="00355F04" w:rsidRDefault="00072055" w:rsidP="000720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oužívanie učebnice, ako výlučného zdroja pre výuku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problematiky ľudských práv má za </w:t>
      </w:r>
      <w:r w:rsidRPr="00D01434">
        <w:rPr>
          <w:rFonts w:ascii="Times New Roman" w:hAnsi="Times New Roman" w:cs="Times New Roman"/>
          <w:b/>
          <w:noProof/>
          <w:sz w:val="24"/>
          <w:szCs w:val="24"/>
        </w:rPr>
        <w:t>sledované obdobie rokov 2005 až 2015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ra</w:t>
      </w:r>
      <w:r w:rsidRPr="00355F04">
        <w:rPr>
          <w:rFonts w:ascii="Times New Roman" w:hAnsi="Times New Roman" w:cs="Times New Roman"/>
          <w:noProof/>
          <w:sz w:val="24"/>
          <w:szCs w:val="24"/>
        </w:rPr>
        <w:t>stúci trend. Kým v r</w:t>
      </w:r>
      <w:r>
        <w:rPr>
          <w:rFonts w:ascii="Times New Roman" w:hAnsi="Times New Roman" w:cs="Times New Roman"/>
          <w:noProof/>
          <w:sz w:val="24"/>
          <w:szCs w:val="24"/>
        </w:rPr>
        <w:t>oku 2005 uvedenú skutočnosť potvrdilo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iba 10,8% žiakov, o desať rokov neskôr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 roku 2015 to bola už viac ako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päti</w:t>
      </w:r>
      <w:r w:rsidR="005F44AD">
        <w:rPr>
          <w:rFonts w:ascii="Times New Roman" w:hAnsi="Times New Roman" w:cs="Times New Roman"/>
          <w:noProof/>
          <w:sz w:val="24"/>
          <w:szCs w:val="24"/>
        </w:rPr>
        <w:t>na opýtaných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(20,8%). Používanie učebnice a dopĺňanie výkladu odbornými materiálmi počas týchto desať rokov kleslo z 43,5% v roku 2005 na 32,6% v roku 2015. Naproti tomu, vyše štvrtina žiakov v roku </w:t>
      </w:r>
      <w:r>
        <w:rPr>
          <w:rFonts w:ascii="Times New Roman" w:hAnsi="Times New Roman" w:cs="Times New Roman"/>
          <w:noProof/>
          <w:sz w:val="24"/>
          <w:szCs w:val="24"/>
        </w:rPr>
        <w:t>2015 je presvedčená, že učitelia pri výučb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e problematiky ľudských práv využívajú primárne odborné materiály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len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doplnené učebnicou, p</w:t>
      </w:r>
      <w:r>
        <w:rPr>
          <w:rFonts w:ascii="Times New Roman" w:hAnsi="Times New Roman" w:cs="Times New Roman"/>
          <w:noProof/>
          <w:sz w:val="24"/>
          <w:szCs w:val="24"/>
        </w:rPr>
        <w:t>ričom pred desiatimi rokmi skutočnosť označila len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necelá pätina (18,4%)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oslovených</w:t>
      </w:r>
      <w:r w:rsidRPr="00355F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72055" w:rsidRPr="00355F04" w:rsidRDefault="00072055" w:rsidP="000720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72055" w:rsidRPr="00355F04" w:rsidRDefault="005F44AD" w:rsidP="0007205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Tabuľka č. 1</w:t>
      </w:r>
      <w:r w:rsidR="00072055" w:rsidRPr="00355F04">
        <w:rPr>
          <w:rFonts w:ascii="Times New Roman" w:hAnsi="Times New Roman" w:cs="Times New Roman"/>
          <w:b/>
          <w:noProof/>
          <w:sz w:val="20"/>
          <w:szCs w:val="20"/>
        </w:rPr>
        <w:t xml:space="preserve"> Typy materiálov k výučbe ĽP - porovnanie (v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8"/>
        <w:gridCol w:w="908"/>
        <w:gridCol w:w="1004"/>
        <w:gridCol w:w="964"/>
        <w:gridCol w:w="964"/>
        <w:gridCol w:w="964"/>
      </w:tblGrid>
      <w:tr w:rsidR="00072055" w:rsidRPr="00355F04" w:rsidTr="00BC6EAB">
        <w:trPr>
          <w:trHeight w:val="287"/>
        </w:trPr>
        <w:tc>
          <w:tcPr>
            <w:tcW w:w="2391" w:type="pct"/>
            <w:shd w:val="clear" w:color="auto" w:fill="D9D9D9" w:themeFill="background1" w:themeFillShade="D9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3" w:type="pct"/>
            <w:shd w:val="clear" w:color="auto" w:fill="D9D9D9" w:themeFill="background1" w:themeFillShade="D9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2005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2008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2011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2013</w:t>
            </w:r>
          </w:p>
        </w:tc>
        <w:tc>
          <w:tcPr>
            <w:tcW w:w="523" w:type="pct"/>
            <w:shd w:val="clear" w:color="auto" w:fill="D9D9D9" w:themeFill="background1" w:themeFillShade="D9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2015</w:t>
            </w:r>
          </w:p>
        </w:tc>
      </w:tr>
      <w:tr w:rsidR="00072055" w:rsidRPr="00355F04" w:rsidTr="00BC6EAB">
        <w:trPr>
          <w:trHeight w:val="140"/>
        </w:trPr>
        <w:tc>
          <w:tcPr>
            <w:tcW w:w="2391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učebnica predmetu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10,8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16,5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16,0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16,4</w:t>
            </w:r>
          </w:p>
        </w:tc>
        <w:tc>
          <w:tcPr>
            <w:tcW w:w="523" w:type="pct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20,8</w:t>
            </w:r>
          </w:p>
        </w:tc>
      </w:tr>
      <w:tr w:rsidR="00072055" w:rsidRPr="00355F04" w:rsidTr="00BC6EAB">
        <w:trPr>
          <w:trHeight w:val="186"/>
        </w:trPr>
        <w:tc>
          <w:tcPr>
            <w:tcW w:w="2391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učebnica, doplnená odbornými materiálmi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43,5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33,8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34,0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34,2</w:t>
            </w:r>
          </w:p>
        </w:tc>
        <w:tc>
          <w:tcPr>
            <w:tcW w:w="523" w:type="pct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32,6</w:t>
            </w:r>
          </w:p>
        </w:tc>
      </w:tr>
      <w:tr w:rsidR="00072055" w:rsidRPr="00355F04" w:rsidTr="00BC6EAB">
        <w:trPr>
          <w:trHeight w:val="232"/>
        </w:trPr>
        <w:tc>
          <w:tcPr>
            <w:tcW w:w="2391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odborné materiály</w:t>
            </w: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 xml:space="preserve"> doplnené učebnicou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18,4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26,7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29,3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29,9</w:t>
            </w:r>
          </w:p>
        </w:tc>
        <w:tc>
          <w:tcPr>
            <w:tcW w:w="523" w:type="pct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26,7</w:t>
            </w:r>
          </w:p>
        </w:tc>
      </w:tr>
      <w:tr w:rsidR="00072055" w:rsidRPr="00355F04" w:rsidTr="00BC6EAB">
        <w:trPr>
          <w:trHeight w:val="122"/>
        </w:trPr>
        <w:tc>
          <w:tcPr>
            <w:tcW w:w="2391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iná forma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13,7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9,6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5,6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4,6</w:t>
            </w:r>
          </w:p>
        </w:tc>
        <w:tc>
          <w:tcPr>
            <w:tcW w:w="523" w:type="pct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5,2</w:t>
            </w:r>
          </w:p>
        </w:tc>
      </w:tr>
      <w:tr w:rsidR="00072055" w:rsidRPr="00355F04" w:rsidTr="00BC6EAB">
        <w:trPr>
          <w:trHeight w:val="169"/>
        </w:trPr>
        <w:tc>
          <w:tcPr>
            <w:tcW w:w="2391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výučba sa neuskutočňuje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8,0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6,0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4,6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4,9</w:t>
            </w:r>
          </w:p>
        </w:tc>
        <w:tc>
          <w:tcPr>
            <w:tcW w:w="523" w:type="pct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5,3</w:t>
            </w:r>
          </w:p>
        </w:tc>
      </w:tr>
      <w:tr w:rsidR="00072055" w:rsidRPr="00355F04" w:rsidTr="00BC6EAB">
        <w:trPr>
          <w:trHeight w:val="214"/>
        </w:trPr>
        <w:tc>
          <w:tcPr>
            <w:tcW w:w="2391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neviem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5,6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7,3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10,5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9,9</w:t>
            </w:r>
          </w:p>
        </w:tc>
        <w:tc>
          <w:tcPr>
            <w:tcW w:w="523" w:type="pct"/>
          </w:tcPr>
          <w:p w:rsidR="00072055" w:rsidRPr="00355F04" w:rsidRDefault="00072055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9,4</w:t>
            </w:r>
          </w:p>
        </w:tc>
      </w:tr>
    </w:tbl>
    <w:p w:rsidR="00072055" w:rsidRDefault="00072055" w:rsidP="00072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E6C" w:rsidRPr="00642C13" w:rsidRDefault="00706E6C" w:rsidP="00706E6C">
      <w:pPr>
        <w:pStyle w:val="Nadpis3"/>
        <w:rPr>
          <w:noProof/>
        </w:rPr>
      </w:pPr>
      <w:r w:rsidRPr="00642C13">
        <w:rPr>
          <w:noProof/>
        </w:rPr>
        <w:t>Spôsob získavania vedomostí z oblasti  ľudských práv v škole</w:t>
      </w:r>
    </w:p>
    <w:p w:rsidR="00706E6C" w:rsidRPr="00706E6C" w:rsidRDefault="00706E6C" w:rsidP="00706E6C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F6B86">
        <w:rPr>
          <w:rFonts w:ascii="Times New Roman" w:hAnsi="Times New Roman" w:cs="Times New Roman"/>
          <w:b/>
          <w:noProof/>
          <w:sz w:val="24"/>
          <w:szCs w:val="24"/>
        </w:rPr>
        <w:t>Viac než 80% žiakov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3D8F">
        <w:rPr>
          <w:rFonts w:ascii="Times New Roman" w:hAnsi="Times New Roman" w:cs="Times New Roman"/>
          <w:b/>
          <w:noProof/>
          <w:sz w:val="24"/>
          <w:szCs w:val="24"/>
        </w:rPr>
        <w:t>základných a stredných škôl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sa vyjadrilo, že poznatky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o ľudských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právach získali v škole predovšetkým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na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vyučovacích hodinách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Necelá štvrtina opýtaných (23,1%)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uvie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dla, že k vedomostiam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 ľudských právach sa dostali prostredníctvom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besied organizovaných školou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. Prítomnosť na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 xml:space="preserve">prednáškach odborníkov z danej oblasti </w:t>
      </w:r>
      <w:r w:rsidRPr="00BC3D8F">
        <w:rPr>
          <w:rFonts w:ascii="Times New Roman" w:hAnsi="Times New Roman" w:cs="Times New Roman"/>
          <w:noProof/>
          <w:sz w:val="24"/>
          <w:szCs w:val="24"/>
        </w:rPr>
        <w:t>potvrdilo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 xml:space="preserve"> 16,5% žiakov a 14,9%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uviedlo, že informácie získali z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násteniek a školských časopisov.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Až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9% oslovených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 však presvedčených, že vedomosti o 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ľudských práv </w:t>
      </w:r>
      <w:r w:rsidRPr="00BC3D8F">
        <w:rPr>
          <w:rFonts w:ascii="Times New Roman" w:hAnsi="Times New Roman" w:cs="Times New Roman"/>
          <w:noProof/>
          <w:sz w:val="24"/>
          <w:szCs w:val="24"/>
        </w:rPr>
        <w:t>v škole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nezískali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C3D8F">
        <w:rPr>
          <w:rFonts w:ascii="Times New Roman" w:hAnsi="Times New Roman" w:cs="Times New Roman"/>
          <w:noProof/>
          <w:sz w:val="24"/>
          <w:szCs w:val="24"/>
        </w:rPr>
        <w:t>pričom až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dve tretiny tvorili respondenti -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muži. </w:t>
      </w:r>
    </w:p>
    <w:p w:rsidR="00706E6C" w:rsidRDefault="00D01434" w:rsidP="000720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A52EE3" w:rsidRPr="00AE3412">
        <w:rPr>
          <w:rFonts w:ascii="Times New Roman" w:hAnsi="Times New Roman" w:cs="Times New Roman"/>
          <w:noProof/>
          <w:sz w:val="24"/>
          <w:szCs w:val="24"/>
        </w:rPr>
        <w:t xml:space="preserve">tredoškoláci sa obdobne ako žiaci základných škôl o ľudských právach vzdelávajú predovšetkým prostredníctvom vyučovacích hodín. Až takmer 90%  (86,8%) oslovených žiakov základných škôl </w:t>
      </w:r>
      <w:r w:rsidR="00A52EE3">
        <w:rPr>
          <w:rFonts w:ascii="Times New Roman" w:hAnsi="Times New Roman" w:cs="Times New Roman"/>
          <w:noProof/>
          <w:sz w:val="24"/>
          <w:szCs w:val="24"/>
        </w:rPr>
        <w:t>získalo</w:t>
      </w:r>
      <w:r w:rsidR="00A52EE3" w:rsidRPr="00AE3412">
        <w:rPr>
          <w:rFonts w:ascii="Times New Roman" w:hAnsi="Times New Roman" w:cs="Times New Roman"/>
          <w:noProof/>
          <w:sz w:val="24"/>
          <w:szCs w:val="24"/>
        </w:rPr>
        <w:t xml:space="preserve"> poznatky z oblasti ľudských práv na vyučovaní, žiaci stredných škôl v 73,0%. Dominanciu v ostatných spôsoboch zvyšovania vedomostí z predmetnej  problematiky vykazujú starší žiaci, žiaci stredných škôl.  Z</w:t>
      </w:r>
      <w:r w:rsidR="00A52EE3">
        <w:rPr>
          <w:rFonts w:ascii="Times New Roman" w:hAnsi="Times New Roman" w:cs="Times New Roman"/>
          <w:noProof/>
          <w:sz w:val="24"/>
          <w:szCs w:val="24"/>
        </w:rPr>
        <w:t> prednášok s</w:t>
      </w:r>
      <w:r w:rsidR="00A52EE3" w:rsidRPr="00AE3412">
        <w:rPr>
          <w:rFonts w:ascii="Times New Roman" w:hAnsi="Times New Roman" w:cs="Times New Roman"/>
          <w:noProof/>
          <w:sz w:val="24"/>
          <w:szCs w:val="24"/>
        </w:rPr>
        <w:t xml:space="preserve"> odborníkmi sa o ľudských právach dozvedá  pätina (19,9%) stredoškolákov a 13,5% žiakov základných škôl, prostredníctvom besied sprostredkovaných školou približne 30% (29,9%) žiakov stredných škôl avšak len 13,5% zo základných škôl  a zo súťaží zameraných na ľudské práva  3% žiakov oboch typov škôl (SŠ 3,3%, ZŠ 3,0%). A tak </w:t>
      </w:r>
      <w:r w:rsidR="00A52EE3">
        <w:rPr>
          <w:rFonts w:ascii="Times New Roman" w:hAnsi="Times New Roman" w:cs="Times New Roman"/>
          <w:noProof/>
          <w:sz w:val="24"/>
          <w:szCs w:val="24"/>
        </w:rPr>
        <w:t>hoci, ako v základných tak aj v stredných školách, najväčší objem vedomostí o ľudských právach získavajú žiaci v procese vyučovania, aktívnejšie formy vzdelávania sú rozšírenejšie na vyššom stupni. O</w:t>
      </w:r>
      <w:r w:rsidR="00A52EE3" w:rsidRPr="00AE3412">
        <w:rPr>
          <w:rFonts w:ascii="Times New Roman" w:hAnsi="Times New Roman" w:cs="Times New Roman"/>
          <w:noProof/>
          <w:sz w:val="24"/>
          <w:szCs w:val="24"/>
        </w:rPr>
        <w:t xml:space="preserve">proti základným školám </w:t>
      </w:r>
      <w:r w:rsidR="00A52EE3">
        <w:rPr>
          <w:rFonts w:ascii="Times New Roman" w:hAnsi="Times New Roman" w:cs="Times New Roman"/>
          <w:noProof/>
          <w:sz w:val="24"/>
          <w:szCs w:val="24"/>
        </w:rPr>
        <w:t xml:space="preserve">tak majú </w:t>
      </w:r>
      <w:r w:rsidR="00A52EE3" w:rsidRPr="00AE3412">
        <w:rPr>
          <w:rFonts w:ascii="Times New Roman" w:hAnsi="Times New Roman" w:cs="Times New Roman"/>
          <w:noProof/>
          <w:sz w:val="24"/>
          <w:szCs w:val="24"/>
        </w:rPr>
        <w:t>vyššie zastúpenie prednášky s odborníkmi, besedy a súťaže,</w:t>
      </w:r>
      <w:r w:rsidR="00A52EE3">
        <w:rPr>
          <w:rFonts w:ascii="Times New Roman" w:hAnsi="Times New Roman" w:cs="Times New Roman"/>
          <w:noProof/>
          <w:sz w:val="24"/>
          <w:szCs w:val="24"/>
        </w:rPr>
        <w:t xml:space="preserve"> čo </w:t>
      </w:r>
      <w:r w:rsidR="00A52EE3">
        <w:rPr>
          <w:rFonts w:ascii="Times New Roman" w:hAnsi="Times New Roman" w:cs="Times New Roman"/>
          <w:noProof/>
          <w:sz w:val="24"/>
          <w:szCs w:val="24"/>
        </w:rPr>
        <w:lastRenderedPageBreak/>
        <w:t>do určitej miery súvisí s vyšším vekom žiakov a tiež s väčšími možnosťami poskytovania aktívnych foriem vzdelávania v oblasti. I napriek tomu sa domnievame, že práve na nižšom stupni vzdelávania by bolo potrebné názornými formami vzdelávania motivovať a podnecovať záujem žiakov o predmetnú oblasť a poukazovať tak na  možné nástrahy života.</w:t>
      </w:r>
    </w:p>
    <w:p w:rsidR="00D01434" w:rsidRDefault="00D01434" w:rsidP="00D01434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01434" w:rsidRPr="00757B4E" w:rsidRDefault="00D01434" w:rsidP="00D01434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1434">
        <w:rPr>
          <w:rFonts w:ascii="Times New Roman" w:hAnsi="Times New Roman" w:cs="Times New Roman"/>
          <w:noProof/>
          <w:sz w:val="24"/>
          <w:szCs w:val="24"/>
        </w:rPr>
        <w:t>V</w:t>
      </w:r>
      <w:r w:rsidRPr="00D01434">
        <w:rPr>
          <w:rFonts w:ascii="Times New Roman" w:hAnsi="Times New Roman" w:cs="Times New Roman"/>
          <w:b/>
          <w:noProof/>
          <w:sz w:val="24"/>
          <w:szCs w:val="24"/>
        </w:rPr>
        <w:t>ýsledky desaťročného zisťovania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ukázali</w:t>
      </w:r>
      <w:r w:rsidRPr="00355F04">
        <w:rPr>
          <w:rFonts w:ascii="Times New Roman" w:hAnsi="Times New Roman" w:cs="Times New Roman"/>
          <w:noProof/>
          <w:sz w:val="24"/>
          <w:szCs w:val="24"/>
        </w:rPr>
        <w:t>, že od roku 2013 sa mierne zvýšil počet žiakov, ktorí uviedli, že vedomosti o ľudskoprávne</w:t>
      </w:r>
      <w:r>
        <w:rPr>
          <w:rFonts w:ascii="Times New Roman" w:hAnsi="Times New Roman" w:cs="Times New Roman"/>
          <w:noProof/>
          <w:sz w:val="24"/>
          <w:szCs w:val="24"/>
        </w:rPr>
        <w:t>j problematike získali na vyučovacích hodinách. Za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desaťroč</w:t>
      </w:r>
      <w:r>
        <w:rPr>
          <w:rFonts w:ascii="Times New Roman" w:hAnsi="Times New Roman" w:cs="Times New Roman"/>
          <w:noProof/>
          <w:sz w:val="24"/>
          <w:szCs w:val="24"/>
        </w:rPr>
        <w:t>né obdobie</w:t>
      </w:r>
      <w:r w:rsidRPr="00355F04">
        <w:rPr>
          <w:rFonts w:ascii="Times New Roman" w:hAnsi="Times New Roman" w:cs="Times New Roman"/>
          <w:noProof/>
          <w:sz w:val="24"/>
          <w:szCs w:val="24"/>
        </w:rPr>
        <w:t>, po</w:t>
      </w:r>
      <w:r>
        <w:rPr>
          <w:rFonts w:ascii="Times New Roman" w:hAnsi="Times New Roman" w:cs="Times New Roman"/>
          <w:noProof/>
          <w:sz w:val="24"/>
          <w:szCs w:val="24"/>
        </w:rPr>
        <w:t>čas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ktoré</w:t>
      </w:r>
      <w:r>
        <w:rPr>
          <w:rFonts w:ascii="Times New Roman" w:hAnsi="Times New Roman" w:cs="Times New Roman"/>
          <w:noProof/>
          <w:sz w:val="24"/>
          <w:szCs w:val="24"/>
        </w:rPr>
        <w:t>ho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sledujeme vývoj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názorov a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postojov žiakov k téme ľudských práv sa práve v minulom roku najviac žiakov </w:t>
      </w:r>
      <w:r>
        <w:rPr>
          <w:rFonts w:ascii="Times New Roman" w:hAnsi="Times New Roman" w:cs="Times New Roman"/>
          <w:noProof/>
          <w:sz w:val="24"/>
          <w:szCs w:val="24"/>
        </w:rPr>
        <w:t>vyjadrilo, že informácie o danej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téme i</w:t>
      </w:r>
      <w:r>
        <w:rPr>
          <w:rFonts w:ascii="Times New Roman" w:hAnsi="Times New Roman" w:cs="Times New Roman"/>
          <w:noProof/>
          <w:sz w:val="24"/>
          <w:szCs w:val="24"/>
        </w:rPr>
        <w:t>m boli sprostredkované na besedách organizovaných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školou. Naopak prednášky od</w:t>
      </w:r>
      <w:r>
        <w:rPr>
          <w:rFonts w:ascii="Times New Roman" w:hAnsi="Times New Roman" w:cs="Times New Roman"/>
          <w:noProof/>
          <w:sz w:val="24"/>
          <w:szCs w:val="24"/>
        </w:rPr>
        <w:t>borníkov, ako zdroj informácii o ľudských právach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označilo relatívne menej žiakov ako po minulé roky. Výsledky môžu odrážať zvýšené úsilie škôl zabezpečiť žiakom informácie k ľudskoprávnym témam na vlastnej pôde. Rastúci trend je však zrejmý aj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 prípade názoru, že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vedomosti o ľudských právach v škole nezískali.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Tieto dve protichodné tendencie možno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vysvetliť vnímaním zníženej relevantnosti, či dôležitosti posk</w:t>
      </w:r>
      <w:r>
        <w:rPr>
          <w:rFonts w:ascii="Times New Roman" w:hAnsi="Times New Roman" w:cs="Times New Roman"/>
          <w:noProof/>
          <w:sz w:val="24"/>
          <w:szCs w:val="24"/>
        </w:rPr>
        <w:t>ytovaného množstva informácii v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školách niektorými žiakmi, pre ktorých predkladané informácie nepredstavujú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nové poznatky. Interpretáciu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však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bude nutné v budúcnosti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oprieť o ďalšie dáta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 hlbšie analyzovať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D01434" w:rsidRPr="00355F04" w:rsidRDefault="005F44AD" w:rsidP="00D0143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Tabuľka č. 2</w:t>
      </w:r>
      <w:r w:rsidR="00D01434" w:rsidRPr="00355F04">
        <w:rPr>
          <w:rFonts w:ascii="Times New Roman" w:hAnsi="Times New Roman" w:cs="Times New Roman"/>
          <w:b/>
          <w:noProof/>
          <w:sz w:val="20"/>
          <w:szCs w:val="20"/>
        </w:rPr>
        <w:t xml:space="preserve"> Spôsob získavania vedomostí  z oblasti ľudských práv v škole – porovnanie  (v %)</w:t>
      </w:r>
    </w:p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8"/>
        <w:gridCol w:w="749"/>
        <w:gridCol w:w="1073"/>
        <w:gridCol w:w="1073"/>
        <w:gridCol w:w="1070"/>
        <w:gridCol w:w="1070"/>
      </w:tblGrid>
      <w:tr w:rsidR="00D01434" w:rsidRPr="00355F04" w:rsidTr="00BC6EAB">
        <w:trPr>
          <w:trHeight w:hRule="exact" w:val="275"/>
        </w:trPr>
        <w:tc>
          <w:tcPr>
            <w:tcW w:w="225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  <w:t>2005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  <w:t>2008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  <w:t>2011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  <w:t>2013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  <w:t>2015</w:t>
            </w:r>
          </w:p>
        </w:tc>
      </w:tr>
      <w:tr w:rsidR="00D01434" w:rsidRPr="00355F04" w:rsidTr="00BC6EAB">
        <w:trPr>
          <w:trHeight w:val="275"/>
        </w:trPr>
        <w:tc>
          <w:tcPr>
            <w:tcW w:w="2256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na vyučovacích hodinách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82,5</w:t>
            </w:r>
          </w:p>
        </w:tc>
        <w:tc>
          <w:tcPr>
            <w:tcW w:w="585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81,6</w:t>
            </w:r>
          </w:p>
        </w:tc>
        <w:tc>
          <w:tcPr>
            <w:tcW w:w="585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82,0</w:t>
            </w:r>
          </w:p>
        </w:tc>
        <w:tc>
          <w:tcPr>
            <w:tcW w:w="583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78,7</w:t>
            </w:r>
          </w:p>
        </w:tc>
        <w:tc>
          <w:tcPr>
            <w:tcW w:w="583" w:type="pct"/>
          </w:tcPr>
          <w:p w:rsidR="00D01434" w:rsidRPr="00355F04" w:rsidRDefault="00D01434" w:rsidP="00BC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D01434" w:rsidRPr="00355F04" w:rsidTr="00BC6EAB">
        <w:trPr>
          <w:trHeight w:val="275"/>
        </w:trPr>
        <w:tc>
          <w:tcPr>
            <w:tcW w:w="2256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besedy organizované školou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17,5</w:t>
            </w:r>
          </w:p>
        </w:tc>
        <w:tc>
          <w:tcPr>
            <w:tcW w:w="585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22,7</w:t>
            </w:r>
          </w:p>
        </w:tc>
        <w:tc>
          <w:tcPr>
            <w:tcW w:w="585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18,6</w:t>
            </w:r>
          </w:p>
        </w:tc>
        <w:tc>
          <w:tcPr>
            <w:tcW w:w="583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22,1</w:t>
            </w:r>
          </w:p>
        </w:tc>
        <w:tc>
          <w:tcPr>
            <w:tcW w:w="583" w:type="pct"/>
          </w:tcPr>
          <w:p w:rsidR="00D01434" w:rsidRPr="00355F04" w:rsidRDefault="00D01434" w:rsidP="00BC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D01434" w:rsidRPr="00355F04" w:rsidTr="00BC6EAB">
        <w:trPr>
          <w:trHeight w:val="275"/>
        </w:trPr>
        <w:tc>
          <w:tcPr>
            <w:tcW w:w="2256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prednášky odborníkov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14,6</w:t>
            </w:r>
          </w:p>
        </w:tc>
        <w:tc>
          <w:tcPr>
            <w:tcW w:w="585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19,0</w:t>
            </w:r>
          </w:p>
        </w:tc>
        <w:tc>
          <w:tcPr>
            <w:tcW w:w="585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18,4</w:t>
            </w:r>
          </w:p>
        </w:tc>
        <w:tc>
          <w:tcPr>
            <w:tcW w:w="583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19,0</w:t>
            </w:r>
          </w:p>
        </w:tc>
        <w:tc>
          <w:tcPr>
            <w:tcW w:w="583" w:type="pct"/>
          </w:tcPr>
          <w:p w:rsidR="00D01434" w:rsidRPr="00355F04" w:rsidRDefault="00D01434" w:rsidP="00BC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D01434" w:rsidRPr="00355F04" w:rsidTr="00BC6EAB">
        <w:trPr>
          <w:trHeight w:val="275"/>
        </w:trPr>
        <w:tc>
          <w:tcPr>
            <w:tcW w:w="2256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nástenky, školské časopisy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19,9</w:t>
            </w:r>
          </w:p>
        </w:tc>
        <w:tc>
          <w:tcPr>
            <w:tcW w:w="585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23,7</w:t>
            </w:r>
          </w:p>
        </w:tc>
        <w:tc>
          <w:tcPr>
            <w:tcW w:w="585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17,1</w:t>
            </w:r>
          </w:p>
        </w:tc>
        <w:tc>
          <w:tcPr>
            <w:tcW w:w="583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13,6</w:t>
            </w:r>
          </w:p>
        </w:tc>
        <w:tc>
          <w:tcPr>
            <w:tcW w:w="583" w:type="pct"/>
          </w:tcPr>
          <w:p w:rsidR="00D01434" w:rsidRPr="00355F04" w:rsidRDefault="00D01434" w:rsidP="00BC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D01434" w:rsidRPr="00355F04" w:rsidTr="00BC6EAB">
        <w:trPr>
          <w:trHeight w:val="275"/>
        </w:trPr>
        <w:tc>
          <w:tcPr>
            <w:tcW w:w="2256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súťaže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1,5</w:t>
            </w:r>
          </w:p>
        </w:tc>
        <w:tc>
          <w:tcPr>
            <w:tcW w:w="585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3,4</w:t>
            </w:r>
          </w:p>
        </w:tc>
        <w:tc>
          <w:tcPr>
            <w:tcW w:w="585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2,8</w:t>
            </w:r>
          </w:p>
        </w:tc>
        <w:tc>
          <w:tcPr>
            <w:tcW w:w="583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1,7</w:t>
            </w:r>
          </w:p>
        </w:tc>
        <w:tc>
          <w:tcPr>
            <w:tcW w:w="583" w:type="pct"/>
          </w:tcPr>
          <w:p w:rsidR="00D01434" w:rsidRPr="00355F04" w:rsidRDefault="00D01434" w:rsidP="00BC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D01434" w:rsidRPr="00355F04" w:rsidTr="00BC6EAB">
        <w:trPr>
          <w:trHeight w:val="275"/>
        </w:trPr>
        <w:tc>
          <w:tcPr>
            <w:tcW w:w="2256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iný spôsob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5,6</w:t>
            </w:r>
          </w:p>
        </w:tc>
        <w:tc>
          <w:tcPr>
            <w:tcW w:w="585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7,2</w:t>
            </w:r>
          </w:p>
        </w:tc>
        <w:tc>
          <w:tcPr>
            <w:tcW w:w="585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4,2</w:t>
            </w:r>
          </w:p>
        </w:tc>
        <w:tc>
          <w:tcPr>
            <w:tcW w:w="583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4,1</w:t>
            </w:r>
          </w:p>
        </w:tc>
        <w:tc>
          <w:tcPr>
            <w:tcW w:w="583" w:type="pct"/>
          </w:tcPr>
          <w:p w:rsidR="00D01434" w:rsidRPr="00355F04" w:rsidRDefault="00D01434" w:rsidP="00BC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D01434" w:rsidRPr="00355F04" w:rsidTr="00BC6EAB">
        <w:trPr>
          <w:trHeight w:val="275"/>
        </w:trPr>
        <w:tc>
          <w:tcPr>
            <w:tcW w:w="2256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vedomosti o ĽP som v škole nezískal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7,8</w:t>
            </w:r>
          </w:p>
        </w:tc>
        <w:tc>
          <w:tcPr>
            <w:tcW w:w="585" w:type="pct"/>
            <w:shd w:val="clear" w:color="auto" w:fill="auto"/>
            <w:noWrap/>
            <w:vAlign w:val="bottom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7,1</w:t>
            </w:r>
          </w:p>
        </w:tc>
        <w:tc>
          <w:tcPr>
            <w:tcW w:w="585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7,5</w:t>
            </w:r>
          </w:p>
        </w:tc>
        <w:tc>
          <w:tcPr>
            <w:tcW w:w="583" w:type="pct"/>
            <w:shd w:val="clear" w:color="auto" w:fill="auto"/>
          </w:tcPr>
          <w:p w:rsidR="00D01434" w:rsidRPr="00355F04" w:rsidRDefault="00D01434" w:rsidP="00BC6E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7,8</w:t>
            </w:r>
          </w:p>
        </w:tc>
        <w:tc>
          <w:tcPr>
            <w:tcW w:w="583" w:type="pct"/>
          </w:tcPr>
          <w:p w:rsidR="00D01434" w:rsidRPr="00355F04" w:rsidRDefault="00D01434" w:rsidP="00BC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562A18" w:rsidRDefault="00562A18" w:rsidP="00562A18">
      <w:pPr>
        <w:pStyle w:val="Nadpis2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bookmarkStart w:id="6" w:name="_Toc447607025"/>
    </w:p>
    <w:p w:rsidR="00BF2969" w:rsidRPr="00BF2969" w:rsidRDefault="00BF2969" w:rsidP="00BF2969"/>
    <w:p w:rsidR="00663EA8" w:rsidRPr="00BF2969" w:rsidRDefault="00663EA8" w:rsidP="00562A18">
      <w:pPr>
        <w:pStyle w:val="Nadpis2"/>
        <w:rPr>
          <w:rFonts w:cs="Times New Roman"/>
          <w:noProof/>
        </w:rPr>
      </w:pPr>
      <w:r w:rsidRPr="00BF2969">
        <w:rPr>
          <w:rFonts w:cs="Times New Roman"/>
          <w:noProof/>
        </w:rPr>
        <w:t>2. Aktivity v oblasti  ľudských právach organizované školou</w:t>
      </w:r>
      <w:bookmarkEnd w:id="6"/>
    </w:p>
    <w:p w:rsidR="00663EA8" w:rsidRPr="00642C13" w:rsidRDefault="00663EA8" w:rsidP="00663EA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42C13">
        <w:rPr>
          <w:rFonts w:ascii="Times New Roman" w:hAnsi="Times New Roman" w:cs="Times New Roman"/>
          <w:bCs/>
          <w:noProof/>
          <w:sz w:val="24"/>
          <w:szCs w:val="24"/>
        </w:rPr>
        <w:t xml:space="preserve">Škola je spolu s rodinou primárnym výchovným  a vzdelávacím prostredím.  Vzdelávanie žiakov sa uskutočňuje nielen tradičnou formou výučby ale aj aktívnymi formami získavania a rozširovania vedomostí a poznatkov. Nakoľko sa darí škole plniť svoje poslanie vzdelávania v oblasti ľudských práv aj prostredníctvom doplnkových aktivít , sme sa pokúsili zmapovať vo výskume. </w:t>
      </w:r>
    </w:p>
    <w:p w:rsidR="00663EA8" w:rsidRPr="00642C13" w:rsidRDefault="00663EA8" w:rsidP="00663EA8">
      <w:pPr>
        <w:pStyle w:val="Nadpis3"/>
        <w:rPr>
          <w:noProof/>
        </w:rPr>
      </w:pPr>
      <w:bookmarkStart w:id="7" w:name="_Toc447607026"/>
      <w:r w:rsidRPr="00642C13">
        <w:rPr>
          <w:noProof/>
        </w:rPr>
        <w:t>Záujem žiakov o účasť na aktivitách z oblasti ľudských práv</w:t>
      </w:r>
      <w:bookmarkEnd w:id="7"/>
    </w:p>
    <w:p w:rsidR="00663EA8" w:rsidRDefault="00663EA8" w:rsidP="00FE676D">
      <w:pPr>
        <w:pStyle w:val="Zarkazkladnhotextu2"/>
        <w:ind w:firstLine="0"/>
        <w:rPr>
          <w:noProof/>
          <w:color w:val="FF0000"/>
          <w:szCs w:val="24"/>
        </w:rPr>
      </w:pPr>
      <w:r w:rsidRPr="00642C13">
        <w:rPr>
          <w:noProof/>
          <w:szCs w:val="24"/>
        </w:rPr>
        <w:t xml:space="preserve">Vzdelávanie k ľudským právam je záležitosťou dvoch strán a to ako zdroja </w:t>
      </w:r>
      <w:r>
        <w:rPr>
          <w:noProof/>
          <w:szCs w:val="24"/>
        </w:rPr>
        <w:t xml:space="preserve">informácií tak aj  prijímateľa informácií. Ak jeden z uvedených </w:t>
      </w:r>
      <w:r w:rsidRPr="00642C13">
        <w:rPr>
          <w:noProof/>
          <w:szCs w:val="24"/>
        </w:rPr>
        <w:t>aktérov ni</w:t>
      </w:r>
      <w:r>
        <w:rPr>
          <w:noProof/>
          <w:szCs w:val="24"/>
        </w:rPr>
        <w:t>e je prítomný, prenos informácií</w:t>
      </w:r>
      <w:r w:rsidRPr="00642C13">
        <w:rPr>
          <w:noProof/>
          <w:szCs w:val="24"/>
        </w:rPr>
        <w:t xml:space="preserve"> sa nemôže uskutočniť. Aby vzdelávanie k ľudským právam bolo efektívne, obe strany – škola i žiak, by mali vyvinúť určitú mieru aktivity. </w:t>
      </w:r>
    </w:p>
    <w:p w:rsidR="00663EA8" w:rsidRPr="00355F04" w:rsidRDefault="00663EA8" w:rsidP="00195E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Zo súboru oslovených žiakov základných a  stredných škôl </w:t>
      </w:r>
      <w:r w:rsidRPr="007F6B86">
        <w:rPr>
          <w:rFonts w:ascii="Times New Roman" w:hAnsi="Times New Roman" w:cs="Times New Roman"/>
          <w:noProof/>
          <w:sz w:val="24"/>
          <w:szCs w:val="24"/>
        </w:rPr>
        <w:t>(N=2340)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sa v prípade uskutočňovania akcie k problematike ľudských práv (t.j. prednášky, s</w:t>
      </w:r>
      <w:r w:rsidR="00FE676D">
        <w:rPr>
          <w:rFonts w:ascii="Times New Roman" w:hAnsi="Times New Roman" w:cs="Times New Roman"/>
          <w:noProof/>
          <w:sz w:val="24"/>
          <w:szCs w:val="24"/>
        </w:rPr>
        <w:t xml:space="preserve">úťaže a pod.) zúčastní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aj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676D">
        <w:rPr>
          <w:rFonts w:ascii="Times New Roman" w:hAnsi="Times New Roman" w:cs="Times New Roman"/>
          <w:noProof/>
          <w:sz w:val="24"/>
          <w:szCs w:val="24"/>
        </w:rPr>
        <w:t xml:space="preserve">pri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 xml:space="preserve">nepovinnej účasti 30,9% </w:t>
      </w:r>
      <w:r w:rsidRPr="00943943">
        <w:rPr>
          <w:rFonts w:ascii="Times New Roman" w:hAnsi="Times New Roman" w:cs="Times New Roman"/>
          <w:noProof/>
          <w:sz w:val="24"/>
          <w:szCs w:val="24"/>
        </w:rPr>
        <w:t>opýtaných žiakov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zostávajúca 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väčšina (69,1%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) sa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organizovaných akcií zúčastní, iba ak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ide o </w:t>
      </w:r>
      <w:r w:rsidRPr="007F6B86">
        <w:rPr>
          <w:rFonts w:ascii="Times New Roman" w:hAnsi="Times New Roman" w:cs="Times New Roman"/>
          <w:b/>
          <w:noProof/>
          <w:sz w:val="24"/>
          <w:szCs w:val="24"/>
        </w:rPr>
        <w:t>povinné podujatie</w:t>
      </w:r>
      <w:r w:rsidRPr="00355F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3EA8" w:rsidRDefault="00663EA8" w:rsidP="0019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6D" w:rsidRPr="00355F04" w:rsidRDefault="00FE676D" w:rsidP="00195E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 rokoch klesania percenta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žiak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ov, ktorí sú vnútorne motivovaní k získavaniu informácií z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problematiky ľudských práv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sa  ich zastú</w:t>
      </w:r>
      <w:r>
        <w:rPr>
          <w:rFonts w:ascii="Times New Roman" w:hAnsi="Times New Roman" w:cs="Times New Roman"/>
          <w:noProof/>
          <w:sz w:val="24"/>
          <w:szCs w:val="24"/>
        </w:rPr>
        <w:t>penie v poslednej vlne zisťovania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opäť mierne </w:t>
      </w:r>
      <w:r w:rsidRPr="00355F04">
        <w:rPr>
          <w:rFonts w:ascii="Times New Roman" w:hAnsi="Times New Roman" w:cs="Times New Roman"/>
          <w:noProof/>
          <w:sz w:val="24"/>
          <w:szCs w:val="24"/>
        </w:rPr>
        <w:lastRenderedPageBreak/>
        <w:t>zvýšilo. Pomer žiakov s vnútornou motiváciou k problematike ľudských práv a tých, ktorí sa tejto téme venujú v škole iba z nutnosti je však výrazne zmenený opro</w:t>
      </w:r>
      <w:r>
        <w:rPr>
          <w:rFonts w:ascii="Times New Roman" w:hAnsi="Times New Roman" w:cs="Times New Roman"/>
          <w:noProof/>
          <w:sz w:val="24"/>
          <w:szCs w:val="24"/>
        </w:rPr>
        <w:t>ti pomeru spred desiatich rokov.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Vtedy žiaci s vnútornou motiváciou predstavovali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až 40,</w:t>
      </w:r>
      <w:r>
        <w:rPr>
          <w:rFonts w:ascii="Times New Roman" w:hAnsi="Times New Roman" w:cs="Times New Roman"/>
          <w:noProof/>
          <w:sz w:val="24"/>
          <w:szCs w:val="24"/>
        </w:rPr>
        <w:t>9%. Dôvodom nepriaznivého stavu môže byť na jednej strane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narastajúca preťaženosť školskými povinnosťami, ale aj preťaženosť a zahltenosť mediálnymi informáciami, v dôsledku čoho sa môže znižovať ich hodnota a reálny dopad.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Témy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ľudský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ch práv tak môžu v dôsledku toho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vzbudzovať stále menší záujem a dôležitosť.</w:t>
      </w:r>
    </w:p>
    <w:p w:rsidR="00BF2969" w:rsidRDefault="00BF2969" w:rsidP="00FE676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FE676D" w:rsidRPr="00355F04" w:rsidRDefault="005F44AD" w:rsidP="00FE676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Tabuľka č. 3</w:t>
      </w:r>
      <w:r w:rsidR="00FE676D" w:rsidRPr="00355F04">
        <w:rPr>
          <w:rFonts w:ascii="Times New Roman" w:hAnsi="Times New Roman" w:cs="Times New Roman"/>
          <w:b/>
          <w:noProof/>
          <w:sz w:val="20"/>
          <w:szCs w:val="20"/>
        </w:rPr>
        <w:t xml:space="preserve">  Záujem žiakov o školské akcie k ľudským právam – porovnanie (%)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1113"/>
        <w:gridCol w:w="1112"/>
        <w:gridCol w:w="1112"/>
        <w:gridCol w:w="1112"/>
        <w:gridCol w:w="1112"/>
      </w:tblGrid>
      <w:tr w:rsidR="00FE676D" w:rsidRPr="00355F04" w:rsidTr="00D253DA">
        <w:trPr>
          <w:trHeight w:hRule="exact" w:val="269"/>
        </w:trPr>
        <w:tc>
          <w:tcPr>
            <w:tcW w:w="1959" w:type="pct"/>
            <w:shd w:val="clear" w:color="auto" w:fill="D9D9D9" w:themeFill="background1" w:themeFillShade="D9"/>
            <w:vAlign w:val="center"/>
          </w:tcPr>
          <w:p w:rsidR="00FE676D" w:rsidRPr="00355F04" w:rsidRDefault="00FE676D" w:rsidP="00D253DA">
            <w:pPr>
              <w:spacing w:after="12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Účasť žiaka na akcii     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sk-SK"/>
              </w:rPr>
              <w:t>2005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2008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2011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2013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2015</w:t>
            </w:r>
          </w:p>
        </w:tc>
      </w:tr>
      <w:tr w:rsidR="00FE676D" w:rsidRPr="00355F04" w:rsidTr="00D253DA">
        <w:trPr>
          <w:trHeight w:hRule="exact" w:val="278"/>
        </w:trPr>
        <w:tc>
          <w:tcPr>
            <w:tcW w:w="1959" w:type="pct"/>
            <w:shd w:val="clear" w:color="auto" w:fill="auto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iba v prípade povinnej účasti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59,1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64,4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68,8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71,8</w:t>
            </w:r>
          </w:p>
        </w:tc>
        <w:tc>
          <w:tcPr>
            <w:tcW w:w="608" w:type="pct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69</w:t>
            </w:r>
            <w:r w:rsidRPr="00355F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,1</w:t>
            </w:r>
          </w:p>
        </w:tc>
      </w:tr>
      <w:tr w:rsidR="00FE676D" w:rsidRPr="00355F04" w:rsidTr="00D253DA">
        <w:trPr>
          <w:trHeight w:hRule="exact" w:val="297"/>
        </w:trPr>
        <w:tc>
          <w:tcPr>
            <w:tcW w:w="1959" w:type="pct"/>
            <w:shd w:val="clear" w:color="auto" w:fill="auto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aj v prípade nepovinnej účasti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  <w:lang w:eastAsia="sk-SK"/>
              </w:rPr>
              <w:t>40,9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35,6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31,2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28,2</w:t>
            </w:r>
          </w:p>
        </w:tc>
        <w:tc>
          <w:tcPr>
            <w:tcW w:w="608" w:type="pct"/>
          </w:tcPr>
          <w:p w:rsidR="00FE676D" w:rsidRPr="00355F04" w:rsidRDefault="00FE676D" w:rsidP="00D253D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30</w:t>
            </w:r>
            <w:r w:rsidRPr="00355F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,9</w:t>
            </w:r>
          </w:p>
        </w:tc>
      </w:tr>
    </w:tbl>
    <w:p w:rsidR="00FE676D" w:rsidRDefault="00FE676D" w:rsidP="00072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642C13" w:rsidRDefault="00484009" w:rsidP="00195ECF">
      <w:pPr>
        <w:pStyle w:val="Nadpis3"/>
        <w:rPr>
          <w:noProof/>
        </w:rPr>
      </w:pPr>
      <w:bookmarkStart w:id="8" w:name="_Toc447607027"/>
      <w:r w:rsidRPr="00642C13">
        <w:rPr>
          <w:noProof/>
        </w:rPr>
        <w:t>Participácia školy na projektoch, programoch v oblasti ľudských práv</w:t>
      </w:r>
      <w:bookmarkEnd w:id="8"/>
    </w:p>
    <w:p w:rsidR="00484009" w:rsidRDefault="00484009" w:rsidP="0048400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Nevedomosť o aktivitách školy v oblasti ľudských práv prezentovali </w:t>
      </w:r>
      <w:r w:rsidR="00E345AD">
        <w:rPr>
          <w:rFonts w:ascii="Times New Roman" w:hAnsi="Times New Roman" w:cs="Times New Roman"/>
          <w:noProof/>
          <w:sz w:val="24"/>
          <w:szCs w:val="24"/>
        </w:rPr>
        <w:t>žiaci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základných a</w:t>
      </w:r>
      <w:r w:rsidR="00E345AD">
        <w:rPr>
          <w:rFonts w:ascii="Times New Roman" w:hAnsi="Times New Roman" w:cs="Times New Roman"/>
          <w:noProof/>
          <w:sz w:val="24"/>
          <w:szCs w:val="24"/>
        </w:rPr>
        <w:t>j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 stredných škôl</w:t>
      </w:r>
      <w:r w:rsidR="00E345AD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345AD">
        <w:rPr>
          <w:rFonts w:ascii="Times New Roman" w:hAnsi="Times New Roman" w:cs="Times New Roman"/>
          <w:b/>
          <w:noProof/>
          <w:sz w:val="24"/>
          <w:szCs w:val="24"/>
        </w:rPr>
        <w:t>V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>yše dve tretiny (66,9%)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345AD">
        <w:rPr>
          <w:rFonts w:ascii="Times New Roman" w:hAnsi="Times New Roman" w:cs="Times New Roman"/>
          <w:noProof/>
          <w:sz w:val="24"/>
          <w:szCs w:val="24"/>
        </w:rPr>
        <w:t xml:space="preserve">oslovených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uvied</w:t>
      </w:r>
      <w:r w:rsidR="00E345AD">
        <w:rPr>
          <w:rFonts w:ascii="Times New Roman" w:hAnsi="Times New Roman" w:cs="Times New Roman"/>
          <w:noProof/>
          <w:sz w:val="24"/>
          <w:szCs w:val="24"/>
        </w:rPr>
        <w:t>lo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, že 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 xml:space="preserve">nevedia, </w:t>
      </w:r>
      <w:r w:rsidRPr="007220C4">
        <w:rPr>
          <w:rFonts w:ascii="Times New Roman" w:hAnsi="Times New Roman" w:cs="Times New Roman"/>
          <w:noProof/>
          <w:sz w:val="24"/>
          <w:szCs w:val="24"/>
        </w:rPr>
        <w:t>či je ich škola zapojená do projektov, programov a súťaží zameraných na oblasť ľudských práv</w:t>
      </w:r>
      <w:r w:rsidRPr="00355F04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>Takmer pätina (20,6%)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je však presvedčená 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>o absencii uvedených aktivít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 škole. 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>Konkrétny projekt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345AD">
        <w:rPr>
          <w:rFonts w:ascii="Times New Roman" w:hAnsi="Times New Roman" w:cs="Times New Roman"/>
          <w:noProof/>
          <w:sz w:val="24"/>
          <w:szCs w:val="24"/>
        </w:rPr>
        <w:t xml:space="preserve">školy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prezentovalo 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>7,7% žiakov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 ostatných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>4,1%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iba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deklarovalo zapojenosť 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>bez konkretizácie</w:t>
      </w:r>
      <w:r w:rsidRPr="00355F04">
        <w:rPr>
          <w:rFonts w:ascii="Times New Roman" w:hAnsi="Times New Roman" w:cs="Times New Roman"/>
          <w:noProof/>
          <w:sz w:val="24"/>
          <w:szCs w:val="24"/>
        </w:rPr>
        <w:t>. Zvyšných 15 opýtaných na otázku neodpovedalo.</w:t>
      </w:r>
    </w:p>
    <w:p w:rsidR="00BF2969" w:rsidRDefault="00F02A13" w:rsidP="00F02A13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Najvyššie zastúpenie vykazovali školy v Trenčianskom a Trnavskom kraji (TN 17,4%, TT 14,8%) a následne v Košickom kraji (7,1%). V ostatných krajoch konkretizovalo akcie školy zamerané na ľudské práva len menej ako 5% respondentov, pričom len 1,5% opýtaných z Bratislavského kraja. Podľa nášho názoru ide o nezáujem oslovených o konkrétnu činnosť </w:t>
      </w:r>
      <w:r w:rsidRPr="002E6B32">
        <w:rPr>
          <w:rFonts w:ascii="Times New Roman" w:hAnsi="Times New Roman" w:cs="Times New Roman"/>
          <w:noProof/>
          <w:sz w:val="24"/>
          <w:szCs w:val="24"/>
        </w:rPr>
        <w:t xml:space="preserve">školy.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Rozloženie odpovedí  </w:t>
      </w:r>
      <w:r w:rsidRPr="002E6B32">
        <w:rPr>
          <w:rFonts w:ascii="Times New Roman" w:hAnsi="Times New Roman" w:cs="Times New Roman"/>
          <w:noProof/>
          <w:sz w:val="24"/>
          <w:szCs w:val="24"/>
        </w:rPr>
        <w:t>zobrazuj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2E6B32">
        <w:rPr>
          <w:rFonts w:ascii="Times New Roman" w:hAnsi="Times New Roman" w:cs="Times New Roman"/>
          <w:noProof/>
          <w:sz w:val="24"/>
          <w:szCs w:val="24"/>
        </w:rPr>
        <w:t xml:space="preserve"> graf.</w:t>
      </w:r>
    </w:p>
    <w:p w:rsidR="00BF2969" w:rsidRPr="00BF2969" w:rsidRDefault="00BF2969" w:rsidP="00BF296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2E6B32">
        <w:rPr>
          <w:rFonts w:ascii="Times New Roman" w:hAnsi="Times New Roman" w:cs="Times New Roman"/>
          <w:b/>
          <w:noProof/>
          <w:sz w:val="20"/>
          <w:szCs w:val="20"/>
        </w:rPr>
        <w:t xml:space="preserve">Graf č. </w:t>
      </w:r>
      <w:r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Pr="002E6B32">
        <w:rPr>
          <w:rFonts w:ascii="Times New Roman" w:hAnsi="Times New Roman" w:cs="Times New Roman"/>
          <w:b/>
          <w:noProof/>
          <w:sz w:val="20"/>
          <w:szCs w:val="20"/>
        </w:rPr>
        <w:t xml:space="preserve">  Zapojenie školy do projektov a súťaží  podľa krajov SR (v %)</w:t>
      </w:r>
    </w:p>
    <w:p w:rsidR="00F02A13" w:rsidRPr="002E6B32" w:rsidRDefault="00F02A13" w:rsidP="00F02A13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6B3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02A13" w:rsidRPr="00DC0260" w:rsidRDefault="00F02A13" w:rsidP="00F02A1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642C13">
        <w:rPr>
          <w:noProof/>
          <w:color w:val="00B050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296F745C" wp14:editId="33CFBB9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61660" cy="2057400"/>
            <wp:effectExtent l="0" t="19050" r="0" b="0"/>
            <wp:wrapSquare wrapText="bothSides"/>
            <wp:docPr id="4" name="Graf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:rsidR="001A2A76" w:rsidRPr="00355F04" w:rsidRDefault="001A2A76" w:rsidP="001A2A7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355F04">
        <w:rPr>
          <w:rFonts w:ascii="Times New Roman" w:hAnsi="Times New Roman" w:cs="Times New Roman"/>
          <w:b/>
          <w:noProof/>
          <w:sz w:val="20"/>
          <w:szCs w:val="20"/>
        </w:rPr>
        <w:t xml:space="preserve">Tabuľka č. </w:t>
      </w:r>
      <w:r w:rsidR="00E345AD">
        <w:rPr>
          <w:rFonts w:ascii="Times New Roman" w:hAnsi="Times New Roman" w:cs="Times New Roman"/>
          <w:b/>
          <w:noProof/>
          <w:sz w:val="20"/>
          <w:szCs w:val="20"/>
        </w:rPr>
        <w:t>4</w:t>
      </w:r>
      <w:r w:rsidRPr="00355F04">
        <w:rPr>
          <w:rFonts w:ascii="Times New Roman" w:hAnsi="Times New Roman" w:cs="Times New Roman"/>
          <w:b/>
          <w:noProof/>
          <w:sz w:val="20"/>
          <w:szCs w:val="20"/>
        </w:rPr>
        <w:t xml:space="preserve"> Zapojenie školy do projektov - porovnanie (v %)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1617"/>
        <w:gridCol w:w="1165"/>
        <w:gridCol w:w="1165"/>
        <w:gridCol w:w="1161"/>
        <w:gridCol w:w="1089"/>
      </w:tblGrid>
      <w:tr w:rsidR="001A2A76" w:rsidRPr="00355F04" w:rsidTr="00D25028">
        <w:trPr>
          <w:trHeight w:hRule="exact" w:val="307"/>
        </w:trPr>
        <w:tc>
          <w:tcPr>
            <w:tcW w:w="1585" w:type="pct"/>
            <w:shd w:val="clear" w:color="auto" w:fill="D9D9D9" w:themeFill="background1" w:themeFillShade="D9"/>
            <w:noWrap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D9D9D9" w:themeFill="background1" w:themeFillShade="D9"/>
            <w:noWrap/>
            <w:vAlign w:val="center"/>
          </w:tcPr>
          <w:p w:rsidR="001A2A76" w:rsidRPr="007F1E78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F1E7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2005</w:t>
            </w:r>
          </w:p>
        </w:tc>
        <w:tc>
          <w:tcPr>
            <w:tcW w:w="642" w:type="pct"/>
            <w:shd w:val="clear" w:color="auto" w:fill="D9D9D9" w:themeFill="background1" w:themeFillShade="D9"/>
            <w:noWrap/>
            <w:vAlign w:val="center"/>
          </w:tcPr>
          <w:p w:rsidR="001A2A76" w:rsidRPr="007F1E78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F1E7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2008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1A2A76" w:rsidRPr="007F1E78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F1E7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2011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:rsidR="001A2A76" w:rsidRPr="007F1E78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F1E7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2013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:rsidR="001A2A76" w:rsidRPr="007F1E78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F1E7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2015</w:t>
            </w:r>
          </w:p>
        </w:tc>
      </w:tr>
      <w:tr w:rsidR="001A2A76" w:rsidRPr="00355F04" w:rsidTr="00D25028">
        <w:trPr>
          <w:trHeight w:hRule="exact" w:val="287"/>
        </w:trPr>
        <w:tc>
          <w:tcPr>
            <w:tcW w:w="1585" w:type="pct"/>
            <w:shd w:val="clear" w:color="auto" w:fill="auto"/>
            <w:noWrap/>
            <w:vAlign w:val="center"/>
          </w:tcPr>
          <w:p w:rsidR="001A2A76" w:rsidRPr="00355F04" w:rsidRDefault="001A2A76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áno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10,1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13,6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10,4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11,5</w:t>
            </w:r>
          </w:p>
        </w:tc>
        <w:tc>
          <w:tcPr>
            <w:tcW w:w="600" w:type="pct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12,5</w:t>
            </w:r>
          </w:p>
        </w:tc>
      </w:tr>
      <w:tr w:rsidR="001A2A76" w:rsidRPr="00355F04" w:rsidTr="00D25028">
        <w:trPr>
          <w:trHeight w:hRule="exact" w:val="276"/>
        </w:trPr>
        <w:tc>
          <w:tcPr>
            <w:tcW w:w="1585" w:type="pct"/>
            <w:shd w:val="clear" w:color="auto" w:fill="auto"/>
            <w:noWrap/>
            <w:vAlign w:val="center"/>
          </w:tcPr>
          <w:p w:rsidR="001A2A76" w:rsidRPr="00355F04" w:rsidRDefault="001A2A76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nie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19,4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15,5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16,3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15,9</w:t>
            </w:r>
          </w:p>
        </w:tc>
        <w:tc>
          <w:tcPr>
            <w:tcW w:w="600" w:type="pct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20,6</w:t>
            </w:r>
          </w:p>
        </w:tc>
      </w:tr>
      <w:tr w:rsidR="001A2A76" w:rsidRPr="00355F04" w:rsidTr="00D25028">
        <w:trPr>
          <w:trHeight w:hRule="exact" w:val="307"/>
        </w:trPr>
        <w:tc>
          <w:tcPr>
            <w:tcW w:w="1585" w:type="pct"/>
            <w:shd w:val="clear" w:color="auto" w:fill="auto"/>
            <w:noWrap/>
            <w:vAlign w:val="center"/>
          </w:tcPr>
          <w:p w:rsidR="001A2A76" w:rsidRPr="00355F04" w:rsidRDefault="001A2A76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neviem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70,5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70,9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73,2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72,2</w:t>
            </w:r>
          </w:p>
        </w:tc>
        <w:tc>
          <w:tcPr>
            <w:tcW w:w="600" w:type="pct"/>
          </w:tcPr>
          <w:p w:rsidR="001A2A76" w:rsidRPr="00355F04" w:rsidRDefault="001A2A76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55F04">
              <w:rPr>
                <w:rFonts w:ascii="Times New Roman" w:hAnsi="Times New Roman" w:cs="Times New Roman"/>
                <w:noProof/>
                <w:sz w:val="20"/>
                <w:szCs w:val="20"/>
              </w:rPr>
              <w:t>66,9</w:t>
            </w:r>
          </w:p>
        </w:tc>
      </w:tr>
    </w:tbl>
    <w:p w:rsidR="001A2A76" w:rsidRPr="00355F04" w:rsidRDefault="001A2A76" w:rsidP="001A2A7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A2A76" w:rsidRPr="00355F04" w:rsidRDefault="001A2A76" w:rsidP="001A2A7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F3FD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Z údajov uvedených v tabuľke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vidieť, že v poslednej vlne zberu dát bolo najviac (20,6%)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žiakov, ktorí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negatívne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odpoveda</w:t>
      </w:r>
      <w:r>
        <w:rPr>
          <w:rFonts w:ascii="Times New Roman" w:hAnsi="Times New Roman" w:cs="Times New Roman"/>
          <w:noProof/>
          <w:sz w:val="24"/>
          <w:szCs w:val="24"/>
        </w:rPr>
        <w:t>li na otázku o zapojenosti školy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do projektov a súťaží s ľudskoprávnou </w:t>
      </w:r>
      <w:r>
        <w:rPr>
          <w:rFonts w:ascii="Times New Roman" w:hAnsi="Times New Roman" w:cs="Times New Roman"/>
          <w:noProof/>
          <w:sz w:val="24"/>
          <w:szCs w:val="24"/>
        </w:rPr>
        <w:t>tématikou. Uvedená hodnota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sa op</w:t>
      </w:r>
      <w:r>
        <w:rPr>
          <w:rFonts w:ascii="Times New Roman" w:hAnsi="Times New Roman" w:cs="Times New Roman"/>
          <w:noProof/>
          <w:sz w:val="24"/>
          <w:szCs w:val="24"/>
        </w:rPr>
        <w:t>äť po roku 2005 zvýšila na takmer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</w:rPr>
        <w:t>ätinovú úroveň oproti predchádzajúcemu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obdobiu.</w:t>
      </w:r>
      <w:r w:rsidR="00E345AD">
        <w:rPr>
          <w:rFonts w:ascii="Times New Roman" w:hAnsi="Times New Roman" w:cs="Times New Roman"/>
          <w:noProof/>
          <w:sz w:val="24"/>
          <w:szCs w:val="24"/>
        </w:rPr>
        <w:t xml:space="preserve"> Od roku 2011 </w:t>
      </w:r>
      <w:r>
        <w:rPr>
          <w:rFonts w:ascii="Times New Roman" w:hAnsi="Times New Roman" w:cs="Times New Roman"/>
          <w:noProof/>
          <w:sz w:val="24"/>
          <w:szCs w:val="24"/>
        </w:rPr>
        <w:t>možno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vnímať mierne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rastúci trend kladnej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odpovede na otázku zapojenia školy do rôznych projektov a súťaží s problematikou ľudských práv.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Pozitívny zistením je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aj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klesajúci trend  poukazujúci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na nevedomosť</w:t>
      </w:r>
      <w:r>
        <w:rPr>
          <w:rFonts w:ascii="Times New Roman" w:hAnsi="Times New Roman" w:cs="Times New Roman"/>
          <w:noProof/>
          <w:sz w:val="24"/>
          <w:szCs w:val="24"/>
        </w:rPr>
        <w:t>. Hoci prevažná väčšina oslovených žiakov základných a stredných škôl za celé sledované obdobie deklaruje nevedomosť a z toho možný ne</w:t>
      </w:r>
      <w:r w:rsidRPr="00355F04">
        <w:rPr>
          <w:rFonts w:ascii="Times New Roman" w:hAnsi="Times New Roman" w:cs="Times New Roman"/>
          <w:noProof/>
          <w:sz w:val="24"/>
          <w:szCs w:val="24"/>
        </w:rPr>
        <w:t>záujem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 nízku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motiváciu zaoberať sa problematikou ľudských práv</w:t>
      </w:r>
      <w:r>
        <w:rPr>
          <w:rFonts w:ascii="Times New Roman" w:hAnsi="Times New Roman" w:cs="Times New Roman"/>
          <w:noProof/>
          <w:sz w:val="24"/>
          <w:szCs w:val="24"/>
        </w:rPr>
        <w:t>, prípadne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>bsenciu školy v uvedených aktivitách,  klesajúci trend navodzuje určitý mierny optimizmus.</w:t>
      </w:r>
    </w:p>
    <w:p w:rsidR="00562A18" w:rsidRDefault="00562A18" w:rsidP="00562A18">
      <w:pPr>
        <w:pStyle w:val="Nadpis2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4"/>
          <w:szCs w:val="24"/>
        </w:rPr>
      </w:pPr>
      <w:bookmarkStart w:id="9" w:name="_Toc447607028"/>
    </w:p>
    <w:p w:rsidR="00E97F98" w:rsidRPr="00BF2969" w:rsidRDefault="00E97F98" w:rsidP="00562A18">
      <w:pPr>
        <w:pStyle w:val="Nadpis2"/>
        <w:rPr>
          <w:noProof/>
        </w:rPr>
      </w:pPr>
      <w:r w:rsidRPr="00BF2969">
        <w:rPr>
          <w:noProof/>
        </w:rPr>
        <w:t>3. Porušovanie ľudských práv a jeho riešenie v školskom prostredí</w:t>
      </w:r>
      <w:bookmarkEnd w:id="9"/>
    </w:p>
    <w:p w:rsidR="00E97F98" w:rsidRPr="00642C13" w:rsidRDefault="00E97F98" w:rsidP="00E97F9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642C13">
        <w:rPr>
          <w:rFonts w:ascii="Times New Roman" w:hAnsi="Times New Roman" w:cs="Times New Roman"/>
          <w:noProof/>
          <w:sz w:val="24"/>
          <w:szCs w:val="24"/>
        </w:rPr>
        <w:t xml:space="preserve">Napriek tomu, že školské prostredie je považované za miesto </w:t>
      </w:r>
      <w:r w:rsidRPr="00642C13">
        <w:rPr>
          <w:rFonts w:ascii="Times New Roman" w:hAnsi="Times New Roman" w:cs="Times New Roman"/>
          <w:noProof/>
          <w:sz w:val="24"/>
        </w:rPr>
        <w:t>rozvoja osobnosti dieťaťa a výchovy zameranej na posilňovanie úcty k ľudským právam a základným slobodám, je žiaľ často aj miestom porušovania ľudských práv. S akými typmi porušovania ľudských práv sa stretávajú žiaci základných a stredných škôl a aké sú možnosti riešenia porušovania ľudských práv v škole, sme sa pokúsili zmapovať v nasledujúcich častiach.</w:t>
      </w:r>
    </w:p>
    <w:p w:rsidR="00E97F98" w:rsidRDefault="00E97F98" w:rsidP="00E97F98">
      <w:pPr>
        <w:pStyle w:val="Nadpis3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noProof/>
          <w:color w:val="FF0000"/>
          <w:sz w:val="12"/>
          <w:szCs w:val="12"/>
        </w:rPr>
      </w:pPr>
      <w:bookmarkStart w:id="10" w:name="_Toc447607029"/>
    </w:p>
    <w:p w:rsidR="00E97F98" w:rsidRPr="00642C13" w:rsidRDefault="00E97F98" w:rsidP="00E97F98">
      <w:pPr>
        <w:pStyle w:val="Nadpis3"/>
        <w:spacing w:before="0" w:line="240" w:lineRule="auto"/>
        <w:rPr>
          <w:noProof/>
        </w:rPr>
      </w:pPr>
      <w:r w:rsidRPr="00642C13">
        <w:rPr>
          <w:noProof/>
        </w:rPr>
        <w:t>Typy porušenia ľudských práv v škole</w:t>
      </w:r>
      <w:bookmarkEnd w:id="10"/>
    </w:p>
    <w:p w:rsidR="00E132C0" w:rsidRDefault="00E97F98" w:rsidP="00E97F9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F3FD0">
        <w:rPr>
          <w:rFonts w:ascii="Times New Roman" w:hAnsi="Times New Roman" w:cs="Times New Roman"/>
          <w:b/>
          <w:noProof/>
          <w:sz w:val="24"/>
          <w:szCs w:val="24"/>
        </w:rPr>
        <w:t>Svedkami porušenia ľudských práv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 školskom prostredí je podľa vyjadrení respondetov, žiakov základných a stredných škôl takmer </w:t>
      </w:r>
      <w:r w:rsidRPr="005F3FD0">
        <w:rPr>
          <w:rFonts w:ascii="Times New Roman" w:hAnsi="Times New Roman" w:cs="Times New Roman"/>
          <w:b/>
          <w:noProof/>
          <w:sz w:val="24"/>
          <w:szCs w:val="24"/>
        </w:rPr>
        <w:t>tretina opýtaných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(29,9%)</w:t>
      </w:r>
      <w:r>
        <w:rPr>
          <w:rFonts w:ascii="Times New Roman" w:hAnsi="Times New Roman" w:cs="Times New Roman"/>
          <w:noProof/>
          <w:sz w:val="24"/>
          <w:szCs w:val="24"/>
        </w:rPr>
        <w:t>. Percento  je vysoké</w:t>
      </w:r>
      <w:r w:rsidRPr="00355F04">
        <w:rPr>
          <w:rFonts w:ascii="Times New Roman" w:hAnsi="Times New Roman" w:cs="Times New Roman"/>
          <w:noProof/>
          <w:sz w:val="24"/>
          <w:szCs w:val="24"/>
        </w:rPr>
        <w:t>, oproti minulej vlne zberu dát v roku 2</w:t>
      </w:r>
      <w:r>
        <w:rPr>
          <w:rFonts w:ascii="Times New Roman" w:hAnsi="Times New Roman" w:cs="Times New Roman"/>
          <w:noProof/>
          <w:sz w:val="24"/>
          <w:szCs w:val="24"/>
        </w:rPr>
        <w:t>013 je však významne nižšie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rok 2015 29,9%, rok 2013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46,5%). </w:t>
      </w:r>
      <w:r>
        <w:rPr>
          <w:rFonts w:ascii="Times New Roman" w:hAnsi="Times New Roman" w:cs="Times New Roman"/>
          <w:noProof/>
          <w:sz w:val="24"/>
          <w:szCs w:val="24"/>
        </w:rPr>
        <w:t>Zaujímavé je</w:t>
      </w:r>
      <w:r w:rsidRPr="00355F04">
        <w:rPr>
          <w:rFonts w:ascii="Times New Roman" w:hAnsi="Times New Roman" w:cs="Times New Roman"/>
          <w:noProof/>
          <w:sz w:val="24"/>
          <w:szCs w:val="24"/>
        </w:rPr>
        <w:t>, že zníženie oproti roku 2013 nastalo aj v ostatných oblastiach kontaktu s porušovaním ľudských práv</w:t>
      </w:r>
      <w:r w:rsidR="00E345AD">
        <w:rPr>
          <w:rFonts w:ascii="Times New Roman" w:hAnsi="Times New Roman" w:cs="Times New Roman"/>
          <w:noProof/>
          <w:sz w:val="24"/>
          <w:szCs w:val="24"/>
        </w:rPr>
        <w:t xml:space="preserve"> v škole.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F3FD0">
        <w:rPr>
          <w:rFonts w:ascii="Times New Roman" w:hAnsi="Times New Roman" w:cs="Times New Roman"/>
          <w:b/>
          <w:noProof/>
          <w:sz w:val="24"/>
          <w:szCs w:val="24"/>
        </w:rPr>
        <w:t>8% žiakov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uviedlo, že boli </w:t>
      </w:r>
      <w:r w:rsidRPr="005F3FD0">
        <w:rPr>
          <w:rFonts w:ascii="Times New Roman" w:hAnsi="Times New Roman" w:cs="Times New Roman"/>
          <w:b/>
          <w:noProof/>
          <w:sz w:val="24"/>
          <w:szCs w:val="24"/>
        </w:rPr>
        <w:t>obeťami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porušovania ich práv (rok 2013 9,6%) a </w:t>
      </w:r>
      <w:r w:rsidRPr="005F3FD0">
        <w:rPr>
          <w:rFonts w:ascii="Times New Roman" w:hAnsi="Times New Roman" w:cs="Times New Roman"/>
          <w:b/>
          <w:noProof/>
          <w:sz w:val="24"/>
          <w:szCs w:val="24"/>
        </w:rPr>
        <w:t>3,7%,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že boli 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 xml:space="preserve">agresormi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v porušovaní ľudských práv iných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(rok 2013 5,7%)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>Väčšina (58,4%)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oslovených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žiakov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sa však </w:t>
      </w:r>
      <w:r w:rsidRPr="007220C4">
        <w:rPr>
          <w:rFonts w:ascii="Times New Roman" w:hAnsi="Times New Roman" w:cs="Times New Roman"/>
          <w:b/>
          <w:noProof/>
          <w:sz w:val="24"/>
          <w:szCs w:val="24"/>
        </w:rPr>
        <w:t>s porušením práv v škole nestretla.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Dôvod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pozitívneho vývoja je nutné hľadať v súvislosti s ďalšími skúmanými premennými. </w:t>
      </w:r>
    </w:p>
    <w:p w:rsidR="00E132C0" w:rsidRPr="009023AD" w:rsidRDefault="00E132C0" w:rsidP="00E132C0">
      <w:pPr>
        <w:pStyle w:val="Zkladntext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23AD">
        <w:rPr>
          <w:rFonts w:ascii="Times New Roman" w:hAnsi="Times New Roman" w:cs="Times New Roman"/>
          <w:noProof/>
          <w:sz w:val="24"/>
          <w:szCs w:val="24"/>
        </w:rPr>
        <w:t>Porušenie ľudských práv  priznali častejšie starší žiaci ako mladší. S porušením ľudských práv sa v prostredí školy nestretlo 56,6% stredoškolákov a 66,0% žiakov základných škôl. Približne tretina žiakov stredných škôl sa stala svedkom porušenia práva (ZŠ 28,4%), a necelých 10% (9,1%) bolo dokonca obeťou. U mladších žiakov bolo obeťou porušenia ľudských práv  7,7% oslovených. Zarážajúce je, že približne 4% oslovených a to bez rozdielu typu  navštevovanej školy priznalo pozíciu agresora (SŠ 4,1%, ZŠ 3,6%).</w:t>
      </w:r>
    </w:p>
    <w:p w:rsidR="009A27D2" w:rsidRPr="009023AD" w:rsidRDefault="009A27D2" w:rsidP="009A27D2">
      <w:pPr>
        <w:pStyle w:val="Zkladntext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23AD">
        <w:rPr>
          <w:rFonts w:ascii="Times New Roman" w:hAnsi="Times New Roman" w:cs="Times New Roman"/>
          <w:noProof/>
          <w:sz w:val="24"/>
          <w:szCs w:val="24"/>
        </w:rPr>
        <w:t>Na otázku konkrétneho porušovania ľudských práv odpovedalo spolu 1529 žiakov. Takmer tretina (31,3%) žiakov uviedla šikanovanie, ako jednu z konkrétnych foriem porušovania ľudských práv. Každý štvrtý oslovený žiak sa v škole stretol s porušením práv v zmysle nemožnosti prejaviť svoj názor. Necelých 17% (16,8%) žiakov priznalo určitú formu diskriminácie. Výskyt fyzických a psychických trestov žiaci základných a stredných škôl udávali v približne rovnakej miere (fyzické tresty: 9,1%, psychické: 9,8%). Dôležitou formou porušenia ľudských práv v škole  je aj ponuka, predaj a užívanie drog. Uvedenú možnosť prezentovalo 8,6% opýtaných. Ostatné prípady a formy porušovania ľudských práv nepresahujú 5%-nú úroveň zastúpenia medzi žiakmi. Na druhej strane necelá tretina (29,7%) žiakov poukázala na absenciu porušovania ľudských práv v škole.</w:t>
      </w:r>
    </w:p>
    <w:p w:rsidR="00B73EEB" w:rsidRPr="00355F04" w:rsidRDefault="00B73EEB" w:rsidP="00B73EE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7149">
        <w:rPr>
          <w:rFonts w:ascii="Times New Roman" w:hAnsi="Times New Roman" w:cs="Times New Roman"/>
          <w:b/>
          <w:noProof/>
          <w:sz w:val="24"/>
          <w:szCs w:val="24"/>
        </w:rPr>
        <w:t xml:space="preserve">Porovnávacia tabuľka zistení za roky 2005 až 2015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sumarizuje konkrétne spôsoby p</w:t>
      </w:r>
      <w:r>
        <w:rPr>
          <w:rFonts w:ascii="Times New Roman" w:hAnsi="Times New Roman" w:cs="Times New Roman"/>
          <w:noProof/>
          <w:sz w:val="24"/>
          <w:szCs w:val="24"/>
        </w:rPr>
        <w:t>orušovania ľudských práv uvádzané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žiakmi základných a stredných škôl. Zaujímavým zistením je nár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ast diskriminácie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na dvojnásobnú hodnotu 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rok 2015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16,8%</w:t>
      </w:r>
      <w:r>
        <w:rPr>
          <w:rFonts w:ascii="Times New Roman" w:hAnsi="Times New Roman" w:cs="Times New Roman"/>
          <w:noProof/>
          <w:sz w:val="24"/>
          <w:szCs w:val="24"/>
        </w:rPr>
        <w:t>, rok 2013 8,0%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) a prudký nárast </w:t>
      </w:r>
      <w:r>
        <w:rPr>
          <w:rFonts w:ascii="Times New Roman" w:hAnsi="Times New Roman" w:cs="Times New Roman"/>
          <w:noProof/>
          <w:sz w:val="24"/>
          <w:szCs w:val="24"/>
        </w:rPr>
        <w:t>porušenia práva na slobodu prejavu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rok 2015 25,6%, rok 2013 11,7%). Uvedená skutočnosť súvisí pravdepodobne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s utečeneckou krízou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 s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rozšírenými </w:t>
      </w:r>
      <w:r w:rsidRPr="00355F04">
        <w:rPr>
          <w:rFonts w:ascii="Times New Roman" w:hAnsi="Times New Roman" w:cs="Times New Roman"/>
          <w:noProof/>
          <w:sz w:val="24"/>
          <w:szCs w:val="24"/>
        </w:rPr>
        <w:lastRenderedPageBreak/>
        <w:t>protiutečeneckými názormi a</w:t>
      </w:r>
      <w:r>
        <w:rPr>
          <w:rFonts w:ascii="Times New Roman" w:hAnsi="Times New Roman" w:cs="Times New Roman"/>
          <w:noProof/>
          <w:sz w:val="24"/>
          <w:szCs w:val="24"/>
        </w:rPr>
        <w:t> postojmi v spoločnosti. Skúmaní žiaci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môž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v tomto smere vnímať zosilnenú diskrimináciu zo strany spolužiakov, záro</w:t>
      </w:r>
      <w:r>
        <w:rPr>
          <w:rFonts w:ascii="Times New Roman" w:hAnsi="Times New Roman" w:cs="Times New Roman"/>
          <w:noProof/>
          <w:sz w:val="24"/>
          <w:szCs w:val="24"/>
        </w:rPr>
        <w:t>veň žiaci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s protiutečeneckými posto</w:t>
      </w:r>
      <w:r>
        <w:rPr>
          <w:rFonts w:ascii="Times New Roman" w:hAnsi="Times New Roman" w:cs="Times New Roman"/>
          <w:noProof/>
          <w:sz w:val="24"/>
          <w:szCs w:val="24"/>
        </w:rPr>
        <w:t>jmi a diskriminačnými názormi môžu mať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pocit, že svoje kontrover</w:t>
      </w:r>
      <w:r>
        <w:rPr>
          <w:rFonts w:ascii="Times New Roman" w:hAnsi="Times New Roman" w:cs="Times New Roman"/>
          <w:noProof/>
          <w:sz w:val="24"/>
          <w:szCs w:val="24"/>
        </w:rPr>
        <w:t>zné vnímanie nesmú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slobodne prejavovať. Ďalším závažným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zistením je aj nárast miery šikanovania v základných a stredných školách (rok 2015 31,3%), ktorá predstavuje najvyššiu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hodnotu za celé obdobie skúmania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problematiky ľudských práv od roku 2005. </w:t>
      </w:r>
    </w:p>
    <w:p w:rsidR="00B73EEB" w:rsidRPr="00F07400" w:rsidRDefault="00E345AD" w:rsidP="00B73EEB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Tabuľka č. 5</w:t>
      </w:r>
      <w:r w:rsidR="00B73EEB" w:rsidRPr="00F07400">
        <w:rPr>
          <w:rFonts w:ascii="Times New Roman" w:hAnsi="Times New Roman" w:cs="Times New Roman"/>
          <w:b/>
          <w:noProof/>
          <w:sz w:val="20"/>
          <w:szCs w:val="20"/>
        </w:rPr>
        <w:t xml:space="preserve">  Typy porušenia ľudských práv (bez „nestretol som sa s porušením“ )- porovnanie (v %)</w:t>
      </w:r>
    </w:p>
    <w:tbl>
      <w:tblPr>
        <w:tblW w:w="491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1211"/>
        <w:gridCol w:w="1211"/>
        <w:gridCol w:w="1210"/>
        <w:gridCol w:w="1208"/>
        <w:gridCol w:w="1208"/>
      </w:tblGrid>
      <w:tr w:rsidR="00B73EEB" w:rsidRPr="00F07400" w:rsidTr="00D25028">
        <w:trPr>
          <w:trHeight w:val="251"/>
        </w:trPr>
        <w:tc>
          <w:tcPr>
            <w:tcW w:w="1660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3EEB" w:rsidRPr="00D10189" w:rsidRDefault="00B73EEB" w:rsidP="00D25028">
            <w:pPr>
              <w:spacing w:after="12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3EEB" w:rsidRPr="00D10189" w:rsidRDefault="00B73EEB" w:rsidP="00D2502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2005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3EEB" w:rsidRPr="00D10189" w:rsidRDefault="00B73EEB" w:rsidP="00D2502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2008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3EEB" w:rsidRPr="00D10189" w:rsidRDefault="00B73EEB" w:rsidP="00D2502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2011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3EEB" w:rsidRPr="00D10189" w:rsidRDefault="00B73EEB" w:rsidP="00D2502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2013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3EEB" w:rsidRPr="00D10189" w:rsidRDefault="00B73EEB" w:rsidP="00D2502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2015</w:t>
            </w:r>
          </w:p>
        </w:tc>
      </w:tr>
      <w:tr w:rsidR="00B73EEB" w:rsidRPr="00F07400" w:rsidTr="00D25028">
        <w:trPr>
          <w:trHeight w:val="190"/>
        </w:trPr>
        <w:tc>
          <w:tcPr>
            <w:tcW w:w="1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diskriminácia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11,4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8,6</w:t>
            </w:r>
          </w:p>
        </w:tc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7,2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8,0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16,8</w:t>
            </w:r>
          </w:p>
        </w:tc>
      </w:tr>
      <w:tr w:rsidR="00B73EEB" w:rsidRPr="00F07400" w:rsidTr="00D25028">
        <w:trPr>
          <w:trHeight w:val="235"/>
        </w:trPr>
        <w:tc>
          <w:tcPr>
            <w:tcW w:w="1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nemožnosť vyjadriť názor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16,4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10,5</w:t>
            </w:r>
          </w:p>
        </w:tc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10,9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11,7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25,6</w:t>
            </w:r>
          </w:p>
        </w:tc>
      </w:tr>
      <w:tr w:rsidR="00B73EEB" w:rsidRPr="00F07400" w:rsidTr="00D25028">
        <w:trPr>
          <w:trHeight w:val="125"/>
        </w:trPr>
        <w:tc>
          <w:tcPr>
            <w:tcW w:w="1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fyzické tresty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7,9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5,9</w:t>
            </w:r>
          </w:p>
        </w:tc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3,7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9,5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9,1</w:t>
            </w:r>
          </w:p>
        </w:tc>
      </w:tr>
      <w:tr w:rsidR="00B73EEB" w:rsidRPr="00F07400" w:rsidTr="00D25028">
        <w:trPr>
          <w:trHeight w:val="171"/>
        </w:trPr>
        <w:tc>
          <w:tcPr>
            <w:tcW w:w="1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psychické tresty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9,2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5,5</w:t>
            </w:r>
          </w:p>
        </w:tc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3,7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8,7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9,8</w:t>
            </w:r>
          </w:p>
        </w:tc>
      </w:tr>
      <w:tr w:rsidR="00B73EEB" w:rsidRPr="00F07400" w:rsidTr="00D25028">
        <w:trPr>
          <w:trHeight w:val="270"/>
        </w:trPr>
        <w:tc>
          <w:tcPr>
            <w:tcW w:w="1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nespravodlivé ohodnotenie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2,9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2,6</w:t>
            </w:r>
          </w:p>
        </w:tc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1,0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0,7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2,4</w:t>
            </w:r>
          </w:p>
        </w:tc>
      </w:tr>
      <w:tr w:rsidR="00B73EEB" w:rsidRPr="00F07400" w:rsidTr="00D25028">
        <w:trPr>
          <w:trHeight w:val="193"/>
        </w:trPr>
        <w:tc>
          <w:tcPr>
            <w:tcW w:w="1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drogy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9,7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6,1</w:t>
            </w:r>
          </w:p>
        </w:tc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6,9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4,5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8,6</w:t>
            </w:r>
          </w:p>
        </w:tc>
      </w:tr>
      <w:tr w:rsidR="00B73EEB" w:rsidRPr="00F07400" w:rsidTr="00D25028">
        <w:trPr>
          <w:trHeight w:val="97"/>
        </w:trPr>
        <w:tc>
          <w:tcPr>
            <w:tcW w:w="1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porušenie práv inej osoby (učiteľa)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2,5</w:t>
            </w:r>
          </w:p>
        </w:tc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0,7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0,5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2,7</w:t>
            </w:r>
          </w:p>
        </w:tc>
      </w:tr>
      <w:tr w:rsidR="00B73EEB" w:rsidRPr="00F07400" w:rsidTr="00D25028">
        <w:trPr>
          <w:trHeight w:val="144"/>
        </w:trPr>
        <w:tc>
          <w:tcPr>
            <w:tcW w:w="1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šikanovanie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27,1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22,5</w:t>
            </w:r>
          </w:p>
        </w:tc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19,8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20,6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31,3</w:t>
            </w:r>
          </w:p>
        </w:tc>
      </w:tr>
      <w:tr w:rsidR="00B73EEB" w:rsidRPr="00F07400" w:rsidTr="00D25028">
        <w:trPr>
          <w:trHeight w:val="175"/>
        </w:trPr>
        <w:tc>
          <w:tcPr>
            <w:tcW w:w="1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iné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5,4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3,3</w:t>
            </w:r>
          </w:p>
        </w:tc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1,5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1,7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4,1</w:t>
            </w:r>
          </w:p>
        </w:tc>
      </w:tr>
      <w:tr w:rsidR="00B73EEB" w:rsidRPr="00F07400" w:rsidTr="00D25028">
        <w:trPr>
          <w:trHeight w:val="80"/>
        </w:trPr>
        <w:tc>
          <w:tcPr>
            <w:tcW w:w="1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neviem 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2,9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3,8</w:t>
            </w:r>
          </w:p>
        </w:tc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8,0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2,2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6" w:space="0" w:color="auto"/>
            </w:tcBorders>
          </w:tcPr>
          <w:p w:rsidR="00B73EEB" w:rsidRPr="00D10189" w:rsidRDefault="00B73EEB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10189">
              <w:rPr>
                <w:rFonts w:ascii="Times New Roman" w:hAnsi="Times New Roman" w:cs="Times New Roman"/>
                <w:noProof/>
                <w:sz w:val="20"/>
                <w:szCs w:val="20"/>
              </w:rPr>
              <w:t>2,2</w:t>
            </w:r>
          </w:p>
        </w:tc>
      </w:tr>
    </w:tbl>
    <w:p w:rsidR="00B73EEB" w:rsidRDefault="00B73EEB" w:rsidP="00B73EEB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C697F" w:rsidRPr="00642C13" w:rsidRDefault="009C697F" w:rsidP="009C697F">
      <w:pPr>
        <w:pStyle w:val="Nadpis3"/>
        <w:rPr>
          <w:noProof/>
        </w:rPr>
      </w:pPr>
      <w:bookmarkStart w:id="11" w:name="_Toc447607030"/>
      <w:r w:rsidRPr="00642C13">
        <w:rPr>
          <w:noProof/>
        </w:rPr>
        <w:t>Preferencia osoby pri riešení porušenia ľudských práv</w:t>
      </w:r>
      <w:bookmarkEnd w:id="11"/>
    </w:p>
    <w:p w:rsidR="00B73EEB" w:rsidRPr="009023AD" w:rsidRDefault="009C697F" w:rsidP="009C697F">
      <w:pPr>
        <w:pStyle w:val="Zkladntext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23AD">
        <w:rPr>
          <w:rFonts w:ascii="Times New Roman" w:hAnsi="Times New Roman" w:cs="Times New Roman"/>
          <w:noProof/>
          <w:sz w:val="24"/>
          <w:szCs w:val="24"/>
        </w:rPr>
        <w:t>Najviac žiakov v prípade porušovania práv v škole požiadali o pomoc matku (27,8%). Podobná situácia je aj v prípade pomoci učiteľa (23,9%). Zaujímavým zistením je, že otec a kamarát majú u oslovených žiakov základných a stredných škôl rovnaké zastúpenie ( zhodne 16,8%). Relatívne častou reakciou oslovených je, že si vzniknuté problémy nechávajú pre seba a pred okolím ich taja (13,0%), alebo sa s nimi zdôverujú  spolužiakom (13,0%). Pomoc riaditeľa vyhľadalo 8,8% žiakov, pričom upovedomenie osoby riaditeľa š</w:t>
      </w:r>
      <w:r w:rsidR="00E345AD">
        <w:rPr>
          <w:rFonts w:ascii="Times New Roman" w:hAnsi="Times New Roman" w:cs="Times New Roman"/>
          <w:noProof/>
          <w:sz w:val="24"/>
          <w:szCs w:val="24"/>
        </w:rPr>
        <w:t>koly môže signalizovať vyššiu</w:t>
      </w:r>
      <w:r w:rsidRPr="009023AD">
        <w:rPr>
          <w:rFonts w:ascii="Times New Roman" w:hAnsi="Times New Roman" w:cs="Times New Roman"/>
          <w:noProof/>
          <w:sz w:val="24"/>
          <w:szCs w:val="24"/>
        </w:rPr>
        <w:t xml:space="preserve"> závažnosť vzniknutého problému porušenia ľudských práv . Pomerne málo je využívaná zo strany oslovených žiakov linka dôvery (2,6%), minimálny počet  sa so vzniknutým problémom obrátil na inštitúciu zaoberajúcu sa ľudskými právami (0,4%).</w:t>
      </w:r>
    </w:p>
    <w:p w:rsidR="00F8386B" w:rsidRDefault="00E97F98" w:rsidP="00F8386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386B" w:rsidRPr="009023AD">
        <w:rPr>
          <w:rFonts w:ascii="Times New Roman" w:hAnsi="Times New Roman" w:cs="Times New Roman"/>
          <w:noProof/>
          <w:sz w:val="24"/>
          <w:szCs w:val="24"/>
        </w:rPr>
        <w:t>Rozdiely vo vzťahu k typu navštevovanej školy ( základná a stredná škola)</w:t>
      </w:r>
      <w:r w:rsidR="00F8386B" w:rsidRPr="000321A8">
        <w:rPr>
          <w:rFonts w:ascii="Times New Roman" w:hAnsi="Times New Roman" w:cs="Times New Roman"/>
          <w:noProof/>
          <w:sz w:val="24"/>
          <w:szCs w:val="24"/>
        </w:rPr>
        <w:t xml:space="preserve"> potvrdili,</w:t>
      </w:r>
      <w:r w:rsidR="00F8386B" w:rsidRPr="00642C13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</w:t>
      </w:r>
      <w:r w:rsidR="00F8386B" w:rsidRPr="00BE09BF">
        <w:rPr>
          <w:rFonts w:ascii="Times New Roman" w:hAnsi="Times New Roman" w:cs="Times New Roman"/>
          <w:noProof/>
          <w:sz w:val="24"/>
          <w:szCs w:val="24"/>
        </w:rPr>
        <w:t xml:space="preserve">že </w:t>
      </w:r>
      <w:r w:rsidR="00F8386B" w:rsidRPr="00D759F6">
        <w:rPr>
          <w:rFonts w:ascii="Times New Roman" w:hAnsi="Times New Roman" w:cs="Times New Roman"/>
          <w:noProof/>
          <w:sz w:val="24"/>
          <w:szCs w:val="24"/>
        </w:rPr>
        <w:t xml:space="preserve">zatiaľ čo žiaci základných škôl sa častejšie obracajú pri riešení problému na učiteľov (ZŠ 27,2%, SŠ 20,2%), riaditeľa školy (ZŠ 10,0%, SŠ 6,9%), spolužiakov (ZŠ 13,9%, SŠ 11,9%) a na rodinných príslušníkov - rodičov (matka: ZŠ 29,7%, SŠ 25,9%, otec: ZŠ 19,5%, SŠ 13,6%), stredoškoláci si vo vyššom percente nechávajú informáciu  len pre seba (SŠ 16,4%, ZŠ 10,2%), prípadne vyhľadávajú pomoc kamaráta (SŠ 18,8%, ZŠ 15,4%), partnera (SŠ 5,4%, ZŠ 2,3%),  linku dôvery (SŠ 3,2%, ZŠ 2,1%),  </w:t>
      </w:r>
      <w:r w:rsidR="00F8386B">
        <w:rPr>
          <w:rFonts w:ascii="Times New Roman" w:hAnsi="Times New Roman" w:cs="Times New Roman"/>
          <w:noProof/>
          <w:sz w:val="24"/>
          <w:szCs w:val="24"/>
        </w:rPr>
        <w:t>prípadne inštitúciu</w:t>
      </w:r>
      <w:r w:rsidR="00F8386B" w:rsidRPr="00D759F6">
        <w:rPr>
          <w:rFonts w:ascii="Times New Roman" w:hAnsi="Times New Roman" w:cs="Times New Roman"/>
          <w:noProof/>
          <w:sz w:val="24"/>
          <w:szCs w:val="24"/>
        </w:rPr>
        <w:t xml:space="preserve"> pre ľudské práva (SŠ 0,6%, ZŠ 0,2%). Je zarážajúce, že ako vyplýva zo zistení, </w:t>
      </w:r>
      <w:r w:rsidR="00E345AD">
        <w:rPr>
          <w:rFonts w:ascii="Times New Roman" w:hAnsi="Times New Roman" w:cs="Times New Roman"/>
          <w:noProof/>
          <w:sz w:val="24"/>
          <w:szCs w:val="24"/>
        </w:rPr>
        <w:t>neu</w:t>
      </w:r>
      <w:r w:rsidR="00F8386B" w:rsidRPr="00D759F6">
        <w:rPr>
          <w:rFonts w:ascii="Times New Roman" w:hAnsi="Times New Roman" w:cs="Times New Roman"/>
          <w:noProof/>
          <w:sz w:val="24"/>
          <w:szCs w:val="24"/>
        </w:rPr>
        <w:t>stále rastie percento tých, ktorí na porušenie práv nepoukážu, skutočnosť taja a informáciu si nechávajú výlučne len pre seba.  Je to dôsledok stále zhoršujúcich sa medziľudských vzťahov, nedostatočnej komunikácie v rodine i</w:t>
      </w:r>
      <w:r w:rsidR="00F8386B">
        <w:rPr>
          <w:rFonts w:ascii="Times New Roman" w:hAnsi="Times New Roman" w:cs="Times New Roman"/>
          <w:noProof/>
          <w:sz w:val="24"/>
          <w:szCs w:val="24"/>
        </w:rPr>
        <w:t> </w:t>
      </w:r>
      <w:r w:rsidR="00F8386B" w:rsidRPr="00D759F6">
        <w:rPr>
          <w:rFonts w:ascii="Times New Roman" w:hAnsi="Times New Roman" w:cs="Times New Roman"/>
          <w:noProof/>
          <w:sz w:val="24"/>
          <w:szCs w:val="24"/>
        </w:rPr>
        <w:t>škole</w:t>
      </w:r>
      <w:r w:rsidR="00F8386B">
        <w:rPr>
          <w:rFonts w:ascii="Times New Roman" w:hAnsi="Times New Roman" w:cs="Times New Roman"/>
          <w:noProof/>
          <w:sz w:val="24"/>
          <w:szCs w:val="24"/>
        </w:rPr>
        <w:t>,</w:t>
      </w:r>
      <w:r w:rsidR="00F8386B" w:rsidRPr="00D759F6">
        <w:rPr>
          <w:rFonts w:ascii="Times New Roman" w:hAnsi="Times New Roman" w:cs="Times New Roman"/>
          <w:noProof/>
          <w:sz w:val="24"/>
          <w:szCs w:val="24"/>
        </w:rPr>
        <w:t xml:space="preserve"> ako aj nedostatku voľného času, či iných príčin? Odpoveď na otázku by vyžadovala hlbšiu analýzu problému</w:t>
      </w:r>
      <w:r w:rsidR="00F8386B">
        <w:rPr>
          <w:rFonts w:ascii="Times New Roman" w:hAnsi="Times New Roman" w:cs="Times New Roman"/>
          <w:noProof/>
          <w:sz w:val="24"/>
          <w:szCs w:val="24"/>
        </w:rPr>
        <w:t xml:space="preserve">. Interpretáciu bude nutné v budúcnosti </w:t>
      </w:r>
      <w:r w:rsidR="00F8386B" w:rsidRPr="00355F04">
        <w:rPr>
          <w:rFonts w:ascii="Times New Roman" w:hAnsi="Times New Roman" w:cs="Times New Roman"/>
          <w:noProof/>
          <w:sz w:val="24"/>
          <w:szCs w:val="24"/>
        </w:rPr>
        <w:t xml:space="preserve"> oprieť o ďalšie dáta</w:t>
      </w:r>
      <w:r w:rsidR="00F8386B">
        <w:rPr>
          <w:rFonts w:ascii="Times New Roman" w:hAnsi="Times New Roman" w:cs="Times New Roman"/>
          <w:noProof/>
          <w:sz w:val="24"/>
          <w:szCs w:val="24"/>
        </w:rPr>
        <w:t>.</w:t>
      </w:r>
      <w:r w:rsidR="00F8386B" w:rsidRPr="00D759F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023AD" w:rsidRPr="00541F3A" w:rsidRDefault="009023AD" w:rsidP="00562A1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5F04">
        <w:rPr>
          <w:rFonts w:ascii="Times New Roman" w:hAnsi="Times New Roman" w:cs="Times New Roman"/>
          <w:b/>
          <w:noProof/>
          <w:sz w:val="24"/>
          <w:szCs w:val="24"/>
        </w:rPr>
        <w:t>Porovnan</w:t>
      </w:r>
      <w:r>
        <w:rPr>
          <w:rFonts w:ascii="Times New Roman" w:hAnsi="Times New Roman" w:cs="Times New Roman"/>
          <w:b/>
          <w:noProof/>
          <w:sz w:val="24"/>
          <w:szCs w:val="24"/>
        </w:rPr>
        <w:t>ie výsledkov</w:t>
      </w:r>
      <w:r w:rsidRPr="00355F04">
        <w:rPr>
          <w:rFonts w:ascii="Times New Roman" w:hAnsi="Times New Roman" w:cs="Times New Roman"/>
          <w:b/>
          <w:noProof/>
          <w:sz w:val="24"/>
          <w:szCs w:val="24"/>
        </w:rPr>
        <w:t xml:space="preserve"> za roky 2005, 2008, 2011, 2013 a 2015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ukazuje oproti minulým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rokom významný nárast percenta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žiakov, ktorí uviedli blízkych rodinných príslušníkov ako osoby, ktorým sa zdôverili s porušovaním ľudských práv v škole a požiadali ich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 pomoc. Oproti roku 2013 takmer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dvoj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násobne viac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žiakov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označilo otca (16,8%), obdobne veľký nárast zaznamenávame aj v prípade pomoci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matky 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rok 2015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27,8%</w:t>
      </w:r>
      <w:r>
        <w:rPr>
          <w:rFonts w:ascii="Times New Roman" w:hAnsi="Times New Roman" w:cs="Times New Roman"/>
          <w:noProof/>
          <w:sz w:val="24"/>
          <w:szCs w:val="24"/>
        </w:rPr>
        <w:t>, rok 2013 16,2%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). V kontraste s </w:t>
      </w:r>
      <w:r>
        <w:rPr>
          <w:rFonts w:ascii="Times New Roman" w:hAnsi="Times New Roman" w:cs="Times New Roman"/>
          <w:noProof/>
          <w:sz w:val="24"/>
          <w:szCs w:val="24"/>
        </w:rPr>
        <w:t>uvedeným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ziste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ním sa výrazne nižšie percento oslovených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oproti minulým rokom obracia na učiteľov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(rok 2015 23,9%, rok 2013 31,3%, rok 2011 32,3%, rok 2008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28,7%, rok 2005 30,1%). Zistený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vývoj môže reflektovať stratu dôvery žiakov voči učiteľom, </w:t>
      </w:r>
      <w:r>
        <w:rPr>
          <w:rFonts w:ascii="Times New Roman" w:hAnsi="Times New Roman" w:cs="Times New Roman"/>
          <w:noProof/>
          <w:sz w:val="24"/>
          <w:szCs w:val="24"/>
        </w:rPr>
        <w:t>u ktorých je zrejmá problematickú rola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pri riešení konkrétnych pr</w:t>
      </w:r>
      <w:r>
        <w:rPr>
          <w:rFonts w:ascii="Times New Roman" w:hAnsi="Times New Roman" w:cs="Times New Roman"/>
          <w:noProof/>
          <w:sz w:val="24"/>
          <w:szCs w:val="24"/>
        </w:rPr>
        <w:t>oblémov porušenia práv, najmä pri výraznom náraste šikanovania medzi žiakmi. Učitelia sú tak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vzniknutými problé</w:t>
      </w:r>
      <w:r>
        <w:rPr>
          <w:rFonts w:ascii="Times New Roman" w:hAnsi="Times New Roman" w:cs="Times New Roman"/>
          <w:noProof/>
          <w:sz w:val="24"/>
          <w:szCs w:val="24"/>
        </w:rPr>
        <w:t>mami preťažení, niektorí sa vzniknutým situáciám vyhýbajú, resp. popierajú ich význam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. Práve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 uvedeného dôvodu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môže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potom  u žiakov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arastať tendencia hľadať útočisko  v rodine,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u</w:t>
      </w:r>
      <w:r>
        <w:rPr>
          <w:rFonts w:ascii="Times New Roman" w:hAnsi="Times New Roman" w:cs="Times New Roman"/>
          <w:noProof/>
          <w:sz w:val="24"/>
          <w:szCs w:val="24"/>
        </w:rPr>
        <w:t> </w:t>
      </w:r>
      <w:r w:rsidRPr="00355F04">
        <w:rPr>
          <w:rFonts w:ascii="Times New Roman" w:hAnsi="Times New Roman" w:cs="Times New Roman"/>
          <w:noProof/>
          <w:sz w:val="24"/>
          <w:szCs w:val="24"/>
        </w:rPr>
        <w:t>rodičov</w:t>
      </w:r>
      <w:r>
        <w:rPr>
          <w:rFonts w:ascii="Times New Roman" w:hAnsi="Times New Roman" w:cs="Times New Roman"/>
          <w:noProof/>
          <w:sz w:val="24"/>
          <w:szCs w:val="24"/>
        </w:rPr>
        <w:t>, prípadne kamarátov</w:t>
      </w:r>
      <w:r w:rsidRPr="00355F04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 tomto smere významnú úlohu môže v škole zohrávať anonymná schránka dôvery zriaďovaná orgánom žiackej školskej rady.</w:t>
      </w:r>
    </w:p>
    <w:p w:rsidR="00562A18" w:rsidRDefault="00562A18" w:rsidP="00562A18">
      <w:pPr>
        <w:pStyle w:val="Nadpis3"/>
        <w:spacing w:before="0" w:after="120"/>
        <w:rPr>
          <w:noProof/>
        </w:rPr>
      </w:pPr>
    </w:p>
    <w:p w:rsidR="00D57113" w:rsidRPr="00642C13" w:rsidRDefault="00D57113" w:rsidP="00562A18">
      <w:pPr>
        <w:pStyle w:val="Nadpis3"/>
        <w:spacing w:before="0" w:line="240" w:lineRule="auto"/>
        <w:rPr>
          <w:noProof/>
        </w:rPr>
      </w:pPr>
      <w:r w:rsidRPr="00642C13">
        <w:rPr>
          <w:noProof/>
        </w:rPr>
        <w:t xml:space="preserve">Spokojnosť žiakov s riešením porušenia ľudských práv </w:t>
      </w:r>
    </w:p>
    <w:p w:rsidR="00D57113" w:rsidRPr="00642C13" w:rsidRDefault="00D57113" w:rsidP="00562A18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noProof/>
          <w:sz w:val="12"/>
          <w:szCs w:val="12"/>
        </w:rPr>
      </w:pPr>
      <w:r w:rsidRPr="00642C13">
        <w:rPr>
          <w:rFonts w:ascii="Times New Roman" w:hAnsi="Times New Roman" w:cs="Times New Roman"/>
          <w:noProof/>
          <w:sz w:val="24"/>
          <w:szCs w:val="24"/>
        </w:rPr>
        <w:t>Do akej miery sú oslovení žiaci základných a stredných škôl vo všeobecnosti spokojní s riešením prípadného porušenia ľudských práv v škole a aké návrhy zmien v prípade nespokojnosti predkladali sme analyzovali v nasledujúcich  dvoch častiach.</w:t>
      </w:r>
    </w:p>
    <w:p w:rsidR="00D57113" w:rsidRDefault="00D57113" w:rsidP="00D57113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12B6">
        <w:rPr>
          <w:rFonts w:ascii="Times New Roman" w:hAnsi="Times New Roman" w:cs="Times New Roman"/>
          <w:b/>
          <w:noProof/>
          <w:sz w:val="24"/>
          <w:szCs w:val="24"/>
        </w:rPr>
        <w:t>Zo súboru respondentov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12B6">
        <w:rPr>
          <w:rFonts w:ascii="Times New Roman" w:hAnsi="Times New Roman" w:cs="Times New Roman"/>
          <w:noProof/>
          <w:sz w:val="24"/>
          <w:szCs w:val="24"/>
        </w:rPr>
        <w:t xml:space="preserve">najviac žiakov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uvádzalo, že boli s poskynutou pomocou v prípade, že o ňu požiadali </w:t>
      </w:r>
      <w:r w:rsidRPr="008E12B6">
        <w:rPr>
          <w:rFonts w:ascii="Times New Roman" w:hAnsi="Times New Roman" w:cs="Times New Roman"/>
          <w:b/>
          <w:noProof/>
          <w:sz w:val="24"/>
          <w:szCs w:val="24"/>
        </w:rPr>
        <w:t>spokojní (28,7%).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Druhou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najč</w:t>
      </w:r>
      <w:r>
        <w:rPr>
          <w:rFonts w:ascii="Times New Roman" w:hAnsi="Times New Roman" w:cs="Times New Roman"/>
          <w:noProof/>
          <w:sz w:val="24"/>
          <w:szCs w:val="24"/>
        </w:rPr>
        <w:t>astejšou odpoveďou na otázku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bola </w:t>
      </w:r>
      <w:r>
        <w:rPr>
          <w:rFonts w:ascii="Times New Roman" w:hAnsi="Times New Roman" w:cs="Times New Roman"/>
          <w:noProof/>
          <w:sz w:val="24"/>
          <w:szCs w:val="24"/>
        </w:rPr>
        <w:t>odpoveď „</w:t>
      </w:r>
      <w:r w:rsidRPr="008E12B6">
        <w:rPr>
          <w:rFonts w:ascii="Times New Roman" w:hAnsi="Times New Roman" w:cs="Times New Roman"/>
          <w:b/>
          <w:noProof/>
          <w:sz w:val="24"/>
          <w:szCs w:val="24"/>
        </w:rPr>
        <w:t>neviem posúdiť“ (28,5%).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Uvedená skutočnosť do určitej miery súvisí s faktom, že žiakom sa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ťažko oddeľuje a hodnotí poskytnutá pomoc a jej dopad na problém samostatne, bez hodnotenia osoby, ktorá pomoc poskytu</w:t>
      </w:r>
      <w:r>
        <w:rPr>
          <w:rFonts w:ascii="Times New Roman" w:hAnsi="Times New Roman" w:cs="Times New Roman"/>
          <w:noProof/>
          <w:sz w:val="24"/>
          <w:szCs w:val="24"/>
        </w:rPr>
        <w:t>je. V zložitých prípadoch šikanovania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sa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tak žiak môže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o</w:t>
      </w:r>
      <w:r>
        <w:rPr>
          <w:rFonts w:ascii="Times New Roman" w:hAnsi="Times New Roman" w:cs="Times New Roman"/>
          <w:noProof/>
          <w:sz w:val="24"/>
          <w:szCs w:val="24"/>
        </w:rPr>
        <w:t>brátiť o pomoc na matku, avšak jej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následné akcie nemusi</w:t>
      </w:r>
      <w:r>
        <w:rPr>
          <w:rFonts w:ascii="Times New Roman" w:hAnsi="Times New Roman" w:cs="Times New Roman"/>
          <w:noProof/>
          <w:sz w:val="24"/>
          <w:szCs w:val="24"/>
        </w:rPr>
        <w:t>a prispieť k odstráneniu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problému. Pre žiaka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je preto ťažké hodnotiť </w:t>
      </w:r>
      <w:r w:rsidRPr="00355F04">
        <w:rPr>
          <w:rFonts w:ascii="Times New Roman" w:hAnsi="Times New Roman" w:cs="Times New Roman"/>
          <w:noProof/>
          <w:sz w:val="24"/>
          <w:szCs w:val="24"/>
        </w:rPr>
        <w:t>pomoc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 vyjadrovať mieru spokojnosti, resp. nespokojnosti. Ambivalentný postoj vyjadrený </w:t>
      </w:r>
      <w:r w:rsidRPr="00355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12B6">
        <w:rPr>
          <w:rFonts w:ascii="Times New Roman" w:hAnsi="Times New Roman" w:cs="Times New Roman"/>
          <w:b/>
          <w:noProof/>
          <w:sz w:val="24"/>
          <w:szCs w:val="24"/>
        </w:rPr>
        <w:t>ani spokojnosťou, ani nespokojnosťou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prezentovala </w:t>
      </w:r>
      <w:r w:rsidRPr="008E12B6">
        <w:rPr>
          <w:rFonts w:ascii="Times New Roman" w:hAnsi="Times New Roman" w:cs="Times New Roman"/>
          <w:b/>
          <w:noProof/>
          <w:sz w:val="24"/>
          <w:szCs w:val="24"/>
        </w:rPr>
        <w:t>pätina oslovených  ( 20,9%)</w:t>
      </w:r>
      <w:r w:rsidRPr="00355F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0416E" w:rsidRDefault="00C0416E" w:rsidP="00D5711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D57113" w:rsidRPr="00355F04" w:rsidRDefault="001871D4" w:rsidP="00D5711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Graf č. 3</w:t>
      </w:r>
      <w:r w:rsidR="00D57113" w:rsidRPr="00355F04">
        <w:rPr>
          <w:rFonts w:ascii="Times New Roman" w:hAnsi="Times New Roman" w:cs="Times New Roman"/>
          <w:b/>
          <w:noProof/>
          <w:sz w:val="20"/>
          <w:szCs w:val="20"/>
        </w:rPr>
        <w:t xml:space="preserve">  Spokojnosť s riešením porušenia ľudských práv (v%) </w:t>
      </w:r>
    </w:p>
    <w:p w:rsidR="00D57113" w:rsidRPr="0060363F" w:rsidRDefault="00D57113" w:rsidP="00D57113">
      <w:pPr>
        <w:jc w:val="both"/>
        <w:rPr>
          <w:noProof/>
        </w:rPr>
      </w:pPr>
      <w:r w:rsidRPr="00355F04">
        <w:rPr>
          <w:noProof/>
          <w:lang w:eastAsia="sk-SK"/>
        </w:rPr>
        <w:drawing>
          <wp:inline distT="0" distB="0" distL="0" distR="0" wp14:anchorId="4F87111C" wp14:editId="0BA836C4">
            <wp:extent cx="5806440" cy="1630680"/>
            <wp:effectExtent l="0" t="0" r="0" b="0"/>
            <wp:docPr id="14" name="Graf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355F04">
        <w:rPr>
          <w:rFonts w:ascii="Times New Roman" w:hAnsi="Times New Roman" w:cs="Times New Roman"/>
          <w:noProof/>
          <w:sz w:val="20"/>
          <w:szCs w:val="20"/>
        </w:rPr>
        <w:t>Poznámka: N=1461, t.j. tí respondenti, ktorí sa stretli s porušením práv v škole a zhodnotili riešenie</w:t>
      </w:r>
    </w:p>
    <w:p w:rsidR="00BF2969" w:rsidRDefault="000413B3" w:rsidP="00BF29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Žiaci</w:t>
      </w:r>
      <w:r w:rsidRPr="007F3160">
        <w:rPr>
          <w:rFonts w:ascii="Times New Roman" w:hAnsi="Times New Roman" w:cs="Times New Roman"/>
          <w:noProof/>
          <w:sz w:val="24"/>
          <w:szCs w:val="24"/>
        </w:rPr>
        <w:t xml:space="preserve"> sú s poskytovaním pomoci pr</w:t>
      </w:r>
      <w:r>
        <w:rPr>
          <w:rFonts w:ascii="Times New Roman" w:hAnsi="Times New Roman" w:cs="Times New Roman"/>
          <w:noProof/>
          <w:sz w:val="24"/>
          <w:szCs w:val="24"/>
        </w:rPr>
        <w:t>i porušení ich práv spokojnejší</w:t>
      </w:r>
      <w:r w:rsidRPr="007F3160">
        <w:rPr>
          <w:rFonts w:ascii="Times New Roman" w:hAnsi="Times New Roman" w:cs="Times New Roman"/>
          <w:noProof/>
          <w:sz w:val="24"/>
          <w:szCs w:val="24"/>
        </w:rPr>
        <w:t xml:space="preserve"> ako </w:t>
      </w:r>
      <w:r w:rsidRPr="000413B3">
        <w:rPr>
          <w:rFonts w:ascii="Times New Roman" w:hAnsi="Times New Roman" w:cs="Times New Roman"/>
          <w:b/>
          <w:noProof/>
          <w:sz w:val="24"/>
          <w:szCs w:val="24"/>
        </w:rPr>
        <w:t>po minulé roky</w:t>
      </w:r>
      <w:r w:rsidRPr="007F3160">
        <w:rPr>
          <w:rFonts w:ascii="Times New Roman" w:hAnsi="Times New Roman" w:cs="Times New Roman"/>
          <w:noProof/>
          <w:sz w:val="24"/>
          <w:szCs w:val="24"/>
        </w:rPr>
        <w:t xml:space="preserve">. Až 43,1% respondentov bolo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pri zisťovaní </w:t>
      </w:r>
      <w:r w:rsidRPr="007F3160">
        <w:rPr>
          <w:rFonts w:ascii="Times New Roman" w:hAnsi="Times New Roman" w:cs="Times New Roman"/>
          <w:noProof/>
          <w:sz w:val="24"/>
          <w:szCs w:val="24"/>
        </w:rPr>
        <w:t>v roku 2015 úplne spokojný</w:t>
      </w:r>
      <w:r>
        <w:rPr>
          <w:rFonts w:ascii="Times New Roman" w:hAnsi="Times New Roman" w:cs="Times New Roman"/>
          <w:noProof/>
          <w:sz w:val="24"/>
          <w:szCs w:val="24"/>
        </w:rPr>
        <w:t>ch, alebo skôr spokojných, v roku 2013 to bol len každý piaty oslovený (20,8%). N</w:t>
      </w:r>
      <w:r w:rsidRPr="007F3160">
        <w:rPr>
          <w:rFonts w:ascii="Times New Roman" w:hAnsi="Times New Roman" w:cs="Times New Roman"/>
          <w:noProof/>
          <w:sz w:val="24"/>
          <w:szCs w:val="24"/>
        </w:rPr>
        <w:t>árast môže opäť súvisieť so zvýšenou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dôverou, resp.  častejším vyhľadávaním pomoci v rodine</w:t>
      </w:r>
      <w:r w:rsidRPr="007F3160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Žiaci, ktorí uviedli</w:t>
      </w:r>
      <w:r w:rsidRPr="007F31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rodičov ako osoby</w:t>
      </w:r>
      <w:r w:rsidRPr="007F3160">
        <w:rPr>
          <w:rFonts w:ascii="Times New Roman" w:hAnsi="Times New Roman" w:cs="Times New Roman"/>
          <w:noProof/>
          <w:sz w:val="24"/>
          <w:szCs w:val="24"/>
        </w:rPr>
        <w:t>, u ktorých v prípade porušenia ľudských práv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 školskom prostredí</w:t>
      </w:r>
      <w:r w:rsidRPr="007F3160">
        <w:rPr>
          <w:rFonts w:ascii="Times New Roman" w:hAnsi="Times New Roman" w:cs="Times New Roman"/>
          <w:noProof/>
          <w:sz w:val="24"/>
          <w:szCs w:val="24"/>
        </w:rPr>
        <w:t xml:space="preserve"> hľadajú pomoc môžu mať tendenciu </w:t>
      </w:r>
      <w:r>
        <w:rPr>
          <w:rFonts w:ascii="Times New Roman" w:hAnsi="Times New Roman" w:cs="Times New Roman"/>
          <w:noProof/>
          <w:sz w:val="24"/>
          <w:szCs w:val="24"/>
        </w:rPr>
        <w:t>hodnotiť uvedenú</w:t>
      </w:r>
      <w:r w:rsidRPr="007F3160">
        <w:rPr>
          <w:rFonts w:ascii="Times New Roman" w:hAnsi="Times New Roman" w:cs="Times New Roman"/>
          <w:noProof/>
          <w:sz w:val="24"/>
          <w:szCs w:val="24"/>
        </w:rPr>
        <w:t xml:space="preserve"> pomoc pozitívnejšie. Ambivalentný postoj, kedy žiaci </w:t>
      </w:r>
      <w:r>
        <w:rPr>
          <w:rFonts w:ascii="Times New Roman" w:hAnsi="Times New Roman" w:cs="Times New Roman"/>
          <w:noProof/>
          <w:sz w:val="24"/>
          <w:szCs w:val="24"/>
        </w:rPr>
        <w:t>vyjadrovali neutrálne stanovisko (</w:t>
      </w:r>
      <w:r w:rsidRPr="007F3160">
        <w:rPr>
          <w:rFonts w:ascii="Times New Roman" w:hAnsi="Times New Roman" w:cs="Times New Roman"/>
          <w:noProof/>
          <w:sz w:val="24"/>
          <w:szCs w:val="24"/>
        </w:rPr>
        <w:t>ani spokojnosť, ani nespokojnosť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7F3160">
        <w:rPr>
          <w:rFonts w:ascii="Times New Roman" w:hAnsi="Times New Roman" w:cs="Times New Roman"/>
          <w:noProof/>
          <w:sz w:val="24"/>
          <w:szCs w:val="24"/>
        </w:rPr>
        <w:t xml:space="preserve"> bol </w:t>
      </w:r>
      <w:r>
        <w:rPr>
          <w:rFonts w:ascii="Times New Roman" w:hAnsi="Times New Roman" w:cs="Times New Roman"/>
          <w:noProof/>
          <w:sz w:val="24"/>
          <w:szCs w:val="24"/>
        </w:rPr>
        <w:t>u súčasných respondentov zastúpený rovnako</w:t>
      </w:r>
      <w:r w:rsidRPr="007F3160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>ko v predchádzajúcich rokoch skúmania, nezaznamenávame teda výraznejšie zmeny</w:t>
      </w:r>
      <w:r w:rsidRPr="007F3160">
        <w:rPr>
          <w:rFonts w:ascii="Times New Roman" w:hAnsi="Times New Roman" w:cs="Times New Roman"/>
          <w:noProof/>
          <w:sz w:val="24"/>
          <w:szCs w:val="24"/>
        </w:rPr>
        <w:t>.</w:t>
      </w:r>
      <w:bookmarkStart w:id="12" w:name="_Toc447607032"/>
      <w:bookmarkStart w:id="13" w:name="_Toc338413250"/>
      <w:bookmarkStart w:id="14" w:name="_Toc338413449"/>
      <w:bookmarkStart w:id="15" w:name="_Toc338413491"/>
      <w:bookmarkStart w:id="16" w:name="_Toc338413572"/>
      <w:bookmarkStart w:id="17" w:name="_Toc338413614"/>
      <w:bookmarkStart w:id="18" w:name="_Toc338413892"/>
      <w:bookmarkStart w:id="19" w:name="_Toc404331416"/>
    </w:p>
    <w:p w:rsidR="00BF2969" w:rsidRDefault="00BF2969" w:rsidP="00BF29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2969" w:rsidRDefault="00BF2969" w:rsidP="00BF29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2969" w:rsidRDefault="00BF2969" w:rsidP="00BF29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2969" w:rsidRDefault="00BF2969" w:rsidP="00BF29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2969" w:rsidRDefault="00BF2969" w:rsidP="00BF29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2969" w:rsidRDefault="00BF2969" w:rsidP="00BF29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F2969" w:rsidRDefault="00BF2969" w:rsidP="00BF29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0416E" w:rsidRPr="00BF2969" w:rsidRDefault="00C0416E" w:rsidP="00BF2969">
      <w:pPr>
        <w:pStyle w:val="Nadpis2"/>
        <w:rPr>
          <w:rFonts w:ascii="Times New Roman" w:hAnsi="Times New Roman" w:cs="Times New Roman"/>
          <w:noProof/>
          <w:sz w:val="24"/>
          <w:szCs w:val="24"/>
        </w:rPr>
      </w:pPr>
      <w:r w:rsidRPr="00642C13">
        <w:rPr>
          <w:noProof/>
        </w:rPr>
        <w:lastRenderedPageBreak/>
        <w:t>4</w:t>
      </w:r>
      <w:r>
        <w:rPr>
          <w:noProof/>
        </w:rPr>
        <w:t>.</w:t>
      </w:r>
      <w:r w:rsidRPr="00642C13">
        <w:rPr>
          <w:noProof/>
        </w:rPr>
        <w:t xml:space="preserve"> Vzťahy v škole</w:t>
      </w:r>
      <w:bookmarkEnd w:id="12"/>
      <w:r w:rsidRPr="00642C13">
        <w:rPr>
          <w:noProof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C0416E" w:rsidRPr="00C0416E" w:rsidRDefault="00C0416E" w:rsidP="00C0416E">
      <w:pPr>
        <w:pStyle w:val="Zarkazkladnhotextu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416E">
        <w:rPr>
          <w:rFonts w:ascii="Times New Roman" w:hAnsi="Times New Roman" w:cs="Times New Roman"/>
          <w:noProof/>
          <w:sz w:val="24"/>
          <w:szCs w:val="24"/>
        </w:rPr>
        <w:t xml:space="preserve">Výsledky i každodenná skúsenosť potvrdzujú, že kvalita vzťahov medzi ľuďmi dočasne alebo trvalejšie odkázaných na súžitie, spoluprácu významne vplýva na ich prežívanie, správanie a konanie. Uvedený všeobecný poznatok o vplyve kvality medziľudských vzťahov  sa vzťahuje aj na vzťah medzi učiteľom a žiakom a žiakmi navzájom.  Kvalita vzťahu medzi učiteľom a žiakom podstatne ovplyvňuje dosah, šírku a hĺbku učiteľovho výchovného a osobného pôsobenia na žiakov. Na druhej strane aj vzťah žiaka k učiteľom významnou mierov vplýva na celkový vzťah žiaka ku škole, k spolužiakom,  k plneniu školských povinností. Súčasne medziľudské vzťahy v triede významnou mierou dotvárajú celkovú klímu triedy  a vplývajú na formovanie osobnosti žiaka. </w:t>
      </w:r>
    </w:p>
    <w:p w:rsidR="00C0416E" w:rsidRPr="00642C13" w:rsidRDefault="00C0416E" w:rsidP="00C0416E">
      <w:pPr>
        <w:pStyle w:val="Nadpis3"/>
        <w:rPr>
          <w:noProof/>
        </w:rPr>
      </w:pPr>
      <w:bookmarkStart w:id="20" w:name="_Toc338413251"/>
      <w:bookmarkStart w:id="21" w:name="_Toc338413450"/>
      <w:bookmarkStart w:id="22" w:name="_Toc338413492"/>
      <w:bookmarkStart w:id="23" w:name="_Toc338413573"/>
      <w:bookmarkStart w:id="24" w:name="_Toc338413615"/>
      <w:bookmarkStart w:id="25" w:name="_Toc338413893"/>
      <w:bookmarkStart w:id="26" w:name="_Toc404331417"/>
      <w:bookmarkStart w:id="27" w:name="_Toc447607033"/>
      <w:r w:rsidRPr="00642C13">
        <w:rPr>
          <w:noProof/>
        </w:rPr>
        <w:t>Vzťah so spolužiakmi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C0416E" w:rsidRPr="00265C93" w:rsidRDefault="00C0416E" w:rsidP="00C0416E">
      <w:pPr>
        <w:pStyle w:val="Zkladntext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33F">
        <w:rPr>
          <w:rFonts w:ascii="Times New Roman" w:hAnsi="Times New Roman" w:cs="Times New Roman"/>
          <w:noProof/>
          <w:sz w:val="24"/>
          <w:szCs w:val="24"/>
        </w:rPr>
        <w:t>So vzťahom žiakov základných a stredných škôl k škole úzko súvisí aj subjektívne prežívanie klímy v triede. Veď od toho aká je klíma v škole a triede závisí vo veľkej miere či žiak chodí do školy rád a so záujmom alebo vníma školu ako nutnú samozrejmosť.</w:t>
      </w:r>
      <w:r w:rsidRPr="00C0033F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C0033F">
        <w:rPr>
          <w:rFonts w:ascii="Times New Roman" w:hAnsi="Times New Roman" w:cs="Times New Roman"/>
          <w:noProof/>
          <w:sz w:val="24"/>
          <w:szCs w:val="24"/>
        </w:rPr>
        <w:t>Na klímu v škole a triede vplýva niekoľko činiteľov, a to ako  osobnosť učiteľa, tak aj vzťahy medzi ním a žiakmi i medzi žiakmi navzájom. Preto nás vo výskume zaujímalo, ako skúmaní žiaci hodnotia vzťahy so spolužiakmi a učiteľmi a zároveň ako hodnotia prístup učiteľov a rodičov.</w:t>
      </w:r>
    </w:p>
    <w:p w:rsidR="00C0416E" w:rsidRPr="00C0416E" w:rsidRDefault="00C0416E" w:rsidP="00C0416E">
      <w:pPr>
        <w:pStyle w:val="Zkladntext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33F">
        <w:rPr>
          <w:rFonts w:ascii="Times New Roman" w:hAnsi="Times New Roman" w:cs="Times New Roman"/>
          <w:b/>
          <w:noProof/>
          <w:sz w:val="24"/>
          <w:szCs w:val="24"/>
        </w:rPr>
        <w:t>Hodnotenie vzťahov so spolužiakmi vyznieva pozitívne</w:t>
      </w:r>
      <w:r w:rsidRPr="00C0033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0033F">
        <w:rPr>
          <w:rFonts w:ascii="Times New Roman" w:hAnsi="Times New Roman" w:cs="Times New Roman"/>
          <w:b/>
          <w:noProof/>
          <w:sz w:val="24"/>
          <w:szCs w:val="24"/>
        </w:rPr>
        <w:t xml:space="preserve">Viac ako polovica </w:t>
      </w:r>
      <w:r w:rsidRPr="00C0033F">
        <w:rPr>
          <w:rFonts w:ascii="Times New Roman" w:hAnsi="Times New Roman" w:cs="Times New Roman"/>
          <w:noProof/>
          <w:sz w:val="24"/>
          <w:szCs w:val="24"/>
        </w:rPr>
        <w:t xml:space="preserve">oslovených  žiakov základných a stredných škôl </w:t>
      </w:r>
      <w:r w:rsidRPr="00C0033F">
        <w:rPr>
          <w:rFonts w:ascii="Times New Roman" w:hAnsi="Times New Roman" w:cs="Times New Roman"/>
          <w:b/>
          <w:noProof/>
          <w:sz w:val="24"/>
          <w:szCs w:val="24"/>
        </w:rPr>
        <w:t>(55,1%)</w:t>
      </w:r>
      <w:r w:rsidRPr="00C0033F">
        <w:rPr>
          <w:rFonts w:ascii="Times New Roman" w:hAnsi="Times New Roman" w:cs="Times New Roman"/>
          <w:noProof/>
          <w:sz w:val="24"/>
          <w:szCs w:val="24"/>
        </w:rPr>
        <w:t xml:space="preserve"> považuje vzťah so spolužiakmi </w:t>
      </w:r>
      <w:r w:rsidRPr="00C0033F">
        <w:rPr>
          <w:rFonts w:ascii="Times New Roman" w:hAnsi="Times New Roman" w:cs="Times New Roman"/>
          <w:b/>
          <w:noProof/>
          <w:sz w:val="24"/>
          <w:szCs w:val="24"/>
        </w:rPr>
        <w:t>za veľmi dobrý, žiaci si s väčšinou spolužiakov rozumejú a kamarátia sa aj mimo školy</w:t>
      </w:r>
      <w:r w:rsidRPr="00C0033F">
        <w:rPr>
          <w:rFonts w:ascii="Times New Roman" w:hAnsi="Times New Roman" w:cs="Times New Roman"/>
          <w:noProof/>
          <w:sz w:val="24"/>
          <w:szCs w:val="24"/>
        </w:rPr>
        <w:t xml:space="preserve">. Takmer tretina  </w:t>
      </w:r>
      <w:r w:rsidRPr="00C0033F">
        <w:rPr>
          <w:rFonts w:ascii="Times New Roman" w:hAnsi="Times New Roman" w:cs="Times New Roman"/>
          <w:b/>
          <w:noProof/>
          <w:sz w:val="24"/>
          <w:szCs w:val="24"/>
        </w:rPr>
        <w:t>(32,1%) vníma svoj vzťah so spolužiakmi ako dobrý, s väčšinou spolužiakov si rozumejú, ale mimo školy majú iných kamarátov.</w:t>
      </w:r>
      <w:r w:rsidRPr="00C0033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033F">
        <w:rPr>
          <w:rFonts w:ascii="Times New Roman" w:hAnsi="Times New Roman" w:cs="Times New Roman"/>
          <w:b/>
          <w:noProof/>
          <w:sz w:val="24"/>
          <w:szCs w:val="24"/>
        </w:rPr>
        <w:t>Necelých 7% (6,7%)</w:t>
      </w:r>
      <w:r w:rsidRPr="00C0033F">
        <w:rPr>
          <w:rFonts w:ascii="Times New Roman" w:hAnsi="Times New Roman" w:cs="Times New Roman"/>
          <w:noProof/>
          <w:sz w:val="24"/>
          <w:szCs w:val="24"/>
        </w:rPr>
        <w:t xml:space="preserve"> žiakov však  uviedlo, že si so svojimi spolužiakmi </w:t>
      </w:r>
      <w:r w:rsidRPr="00C0033F">
        <w:rPr>
          <w:rFonts w:ascii="Times New Roman" w:hAnsi="Times New Roman" w:cs="Times New Roman"/>
          <w:b/>
          <w:noProof/>
          <w:sz w:val="24"/>
          <w:szCs w:val="24"/>
        </w:rPr>
        <w:t xml:space="preserve">nerozumie a 1,9% </w:t>
      </w:r>
      <w:r w:rsidRPr="00C0033F">
        <w:rPr>
          <w:rFonts w:ascii="Times New Roman" w:hAnsi="Times New Roman" w:cs="Times New Roman"/>
          <w:noProof/>
          <w:sz w:val="24"/>
          <w:szCs w:val="24"/>
        </w:rPr>
        <w:t xml:space="preserve">žiakov dokonca potvrdilo, že im spolužiaci </w:t>
      </w:r>
      <w:r w:rsidRPr="00C0033F">
        <w:rPr>
          <w:rFonts w:ascii="Times New Roman" w:hAnsi="Times New Roman" w:cs="Times New Roman"/>
          <w:b/>
          <w:noProof/>
          <w:sz w:val="24"/>
          <w:szCs w:val="24"/>
        </w:rPr>
        <w:t>ubližujú a preto sú radšej sami</w:t>
      </w:r>
      <w:r w:rsidRPr="00C0033F">
        <w:rPr>
          <w:rFonts w:ascii="Times New Roman" w:hAnsi="Times New Roman" w:cs="Times New Roman"/>
          <w:noProof/>
          <w:sz w:val="24"/>
          <w:szCs w:val="24"/>
        </w:rPr>
        <w:t xml:space="preserve">. Ľahostajnosť vo vzťahu prezentovalo </w:t>
      </w:r>
      <w:r w:rsidRPr="00C0033F">
        <w:rPr>
          <w:rFonts w:ascii="Times New Roman" w:hAnsi="Times New Roman" w:cs="Times New Roman"/>
          <w:b/>
          <w:noProof/>
          <w:sz w:val="24"/>
          <w:szCs w:val="24"/>
        </w:rPr>
        <w:t>2,2%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C0033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0416E" w:rsidRPr="00C0416E" w:rsidRDefault="00C0416E" w:rsidP="00C0416E">
      <w:pPr>
        <w:pStyle w:val="Zkladntext"/>
        <w:spacing w:line="240" w:lineRule="auto"/>
        <w:jc w:val="both"/>
        <w:rPr>
          <w:rFonts w:ascii="Times New Roman" w:hAnsi="Times New Roman" w:cs="Times New Roman"/>
          <w:b/>
          <w:noProof/>
          <w:sz w:val="20"/>
        </w:rPr>
      </w:pPr>
      <w:r w:rsidRPr="00C0416E">
        <w:rPr>
          <w:rFonts w:ascii="Times New Roman" w:hAnsi="Times New Roman" w:cs="Times New Roman"/>
          <w:noProof/>
          <w:sz w:val="24"/>
          <w:szCs w:val="24"/>
        </w:rPr>
        <w:t>Rozdiely podľa stupňa navštevovanej školy (základná a stredná škola)</w:t>
      </w:r>
      <w:r w:rsidRPr="00265C93">
        <w:rPr>
          <w:rFonts w:ascii="Times New Roman" w:hAnsi="Times New Roman" w:cs="Times New Roman"/>
          <w:noProof/>
          <w:sz w:val="24"/>
          <w:szCs w:val="24"/>
        </w:rPr>
        <w:t xml:space="preserve"> ukázali, že pozitívnejší vzťah so spolužiakmi priznávali mladší žiaci, žiaci základných škôl. Až 60,4% žiakov základných škôl  a 49,2% stredoškolákov vníma vzťahy ako veľmi dobré  a to ako na pôde školy tak aj mimo nej. Skutočnosť súvisí pravdepodobne s lokalizáciou základnej školy, ktorá sa vo väčšine prípadoch nachádza v blízkosti bydliska žiakov. Naopak žiaci stredných škôl vo väčšej miere (SŠ 39,2%, ZŠ 25,9%) síce poukazovali na dobré vzťahy so spolužiakmi, avšak obmedzujúce len na prostredie školy, mimo nej majú iných kamarátov. Aj v tomto prípade dôležitú úlohu zohráva lokalita školy. Starší žiaci si vyberajú strednú školu podľa zamerania, často vzdialenú od bydliska, dokonca aj mimo mesta bydliska. Aj z uvedených dôvodov si potom žiaci stredných škôl hľadajú kamarátov v prostredí bydliska. Zlé vzťahy so spolužiakmi často sprevádzané šikanovaním a násilím sú rovnako rozšírené v základných tak aj v stredných školách (nerozumieme si: ZŠ 7,1%, SŠ 6,2%, ubližovanie: ZŠ 2,1%, SŠ 1,7%), obdobne ako ľahostajno</w:t>
      </w:r>
      <w:r>
        <w:rPr>
          <w:rFonts w:ascii="Times New Roman" w:hAnsi="Times New Roman" w:cs="Times New Roman"/>
          <w:noProof/>
          <w:sz w:val="24"/>
          <w:szCs w:val="24"/>
        </w:rPr>
        <w:t>sť vo vzťahu (ZŠ 2,2%, SŠ 2,0%).</w:t>
      </w:r>
    </w:p>
    <w:p w:rsidR="00C0416E" w:rsidRPr="00C0416E" w:rsidRDefault="00C0416E" w:rsidP="00C0416E">
      <w:pPr>
        <w:spacing w:after="12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V</w:t>
      </w:r>
      <w:r w:rsidRPr="00B86366">
        <w:rPr>
          <w:rFonts w:ascii="Times New Roman" w:hAnsi="Times New Roman" w:cs="Times New Roman"/>
          <w:noProof/>
          <w:sz w:val="24"/>
          <w:szCs w:val="24"/>
        </w:rPr>
        <w:t>zájomná ľahostajnosť, neporozumenie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</w:t>
      </w:r>
      <w:r w:rsidRPr="00B86366">
        <w:rPr>
          <w:rFonts w:ascii="Times New Roman" w:hAnsi="Times New Roman" w:cs="Times New Roman"/>
          <w:noProof/>
          <w:sz w:val="24"/>
          <w:szCs w:val="24"/>
        </w:rPr>
        <w:t xml:space="preserve"> a ubližovanie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je medzi žiakmi </w:t>
      </w:r>
      <w:r w:rsidRPr="00B86366">
        <w:rPr>
          <w:rFonts w:ascii="Times New Roman" w:hAnsi="Times New Roman" w:cs="Times New Roman"/>
          <w:noProof/>
          <w:sz w:val="24"/>
          <w:szCs w:val="24"/>
        </w:rPr>
        <w:t xml:space="preserve"> vní</w:t>
      </w:r>
      <w:r>
        <w:rPr>
          <w:rFonts w:ascii="Times New Roman" w:hAnsi="Times New Roman" w:cs="Times New Roman"/>
          <w:noProof/>
          <w:sz w:val="24"/>
          <w:szCs w:val="24"/>
        </w:rPr>
        <w:t>mané rovnakými hodnotami vo všetkých rokoch skúmania</w:t>
      </w:r>
      <w:r w:rsidRPr="00B86366">
        <w:rPr>
          <w:rFonts w:ascii="Times New Roman" w:hAnsi="Times New Roman" w:cs="Times New Roman"/>
          <w:noProof/>
          <w:sz w:val="24"/>
          <w:szCs w:val="24"/>
        </w:rPr>
        <w:t>. Na druhej stra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ne, kým do roku 2014 </w:t>
      </w:r>
      <w:r w:rsidRPr="00B86366">
        <w:rPr>
          <w:rFonts w:ascii="Times New Roman" w:hAnsi="Times New Roman" w:cs="Times New Roman"/>
          <w:noProof/>
          <w:sz w:val="24"/>
          <w:szCs w:val="24"/>
        </w:rPr>
        <w:t>badať mierne zhoršovanie vzťahov medzi rovestníkmi (</w:t>
      </w:r>
      <w:r>
        <w:rPr>
          <w:rFonts w:ascii="Times New Roman" w:hAnsi="Times New Roman" w:cs="Times New Roman"/>
          <w:noProof/>
          <w:sz w:val="24"/>
          <w:szCs w:val="24"/>
        </w:rPr>
        <w:t>v zmysle znižujúceho sa percenta</w:t>
      </w:r>
      <w:r w:rsidRPr="00B86366">
        <w:rPr>
          <w:rFonts w:ascii="Times New Roman" w:hAnsi="Times New Roman" w:cs="Times New Roman"/>
          <w:noProof/>
          <w:sz w:val="24"/>
          <w:szCs w:val="24"/>
        </w:rPr>
        <w:t xml:space="preserve"> žiakov, ktorí vnímali svoje vzťahy so spolužiak</w:t>
      </w:r>
      <w:r>
        <w:rPr>
          <w:rFonts w:ascii="Times New Roman" w:hAnsi="Times New Roman" w:cs="Times New Roman"/>
          <w:noProof/>
          <w:sz w:val="24"/>
          <w:szCs w:val="24"/>
        </w:rPr>
        <w:t>mi ako veľmi dobré), v porovnaní s minulým rokom zisťovania  sa výrazne</w:t>
      </w:r>
      <w:r w:rsidRPr="00B86366">
        <w:rPr>
          <w:rFonts w:ascii="Times New Roman" w:hAnsi="Times New Roman" w:cs="Times New Roman"/>
          <w:noProof/>
          <w:sz w:val="24"/>
          <w:szCs w:val="24"/>
        </w:rPr>
        <w:t xml:space="preserve"> zvýšilo zastúpenie žiakov, ktorí vnímajú veľmi dobré vzťahy </w:t>
      </w:r>
      <w:r>
        <w:rPr>
          <w:rFonts w:ascii="Times New Roman" w:hAnsi="Times New Roman" w:cs="Times New Roman"/>
          <w:noProof/>
          <w:sz w:val="24"/>
          <w:szCs w:val="24"/>
        </w:rPr>
        <w:t>medzi spolužiakmi s pevným priateľstvom</w:t>
      </w:r>
      <w:r w:rsidRPr="00B86366">
        <w:rPr>
          <w:rFonts w:ascii="Times New Roman" w:hAnsi="Times New Roman" w:cs="Times New Roman"/>
          <w:noProof/>
          <w:sz w:val="24"/>
          <w:szCs w:val="24"/>
        </w:rPr>
        <w:t xml:space="preserve"> aj mimo školy (</w:t>
      </w:r>
      <w:r>
        <w:rPr>
          <w:rFonts w:ascii="Times New Roman" w:hAnsi="Times New Roman" w:cs="Times New Roman"/>
          <w:noProof/>
          <w:sz w:val="24"/>
          <w:szCs w:val="24"/>
        </w:rPr>
        <w:t>rok 2015 55,1%, 2014 48,2%). Uvedená hodnota korešponduje s výsledkom v roku</w:t>
      </w:r>
      <w:r w:rsidRPr="00B86366">
        <w:rPr>
          <w:rFonts w:ascii="Times New Roman" w:hAnsi="Times New Roman" w:cs="Times New Roman"/>
          <w:noProof/>
          <w:sz w:val="24"/>
          <w:szCs w:val="24"/>
        </w:rPr>
        <w:t xml:space="preserve"> 2007, kedy veľmi dobré vzťahy so spolužiakmi vnímalo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až </w:t>
      </w:r>
      <w:r w:rsidRPr="00B86366">
        <w:rPr>
          <w:rFonts w:ascii="Times New Roman" w:hAnsi="Times New Roman" w:cs="Times New Roman"/>
          <w:noProof/>
          <w:sz w:val="24"/>
          <w:szCs w:val="24"/>
        </w:rPr>
        <w:t>53,0% opýtaných.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Na druhej strane sa znížilo percento</w:t>
      </w:r>
      <w:r w:rsidRPr="00B86366">
        <w:rPr>
          <w:rFonts w:ascii="Times New Roman" w:hAnsi="Times New Roman" w:cs="Times New Roman"/>
          <w:noProof/>
          <w:sz w:val="24"/>
          <w:szCs w:val="24"/>
        </w:rPr>
        <w:t xml:space="preserve"> žiakov, ktorí udávajú, že ich vzťahy so spolužiakmi sú dobré, ale mimo školy majú iných kamarátov (</w:t>
      </w:r>
      <w:r>
        <w:rPr>
          <w:rFonts w:ascii="Times New Roman" w:hAnsi="Times New Roman" w:cs="Times New Roman"/>
          <w:noProof/>
          <w:sz w:val="24"/>
          <w:szCs w:val="24"/>
        </w:rPr>
        <w:t>rok 2015 32,1%, rok 2014 39,1%)</w:t>
      </w:r>
      <w:r w:rsidRPr="00B86366">
        <w:rPr>
          <w:rFonts w:ascii="Times New Roman" w:hAnsi="Times New Roman" w:cs="Times New Roman"/>
          <w:noProof/>
          <w:sz w:val="24"/>
          <w:szCs w:val="24"/>
        </w:rPr>
        <w:t>. 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zrejmé, že dochádza k posilneniu kamarátskych vzťahov v škole. </w:t>
      </w:r>
    </w:p>
    <w:p w:rsidR="00C0416E" w:rsidRPr="00642C13" w:rsidRDefault="00C0416E" w:rsidP="00C0416E">
      <w:pPr>
        <w:pStyle w:val="Nadpis3"/>
        <w:rPr>
          <w:noProof/>
        </w:rPr>
      </w:pPr>
      <w:bookmarkStart w:id="28" w:name="_Toc338413252"/>
      <w:bookmarkStart w:id="29" w:name="_Toc338413451"/>
      <w:bookmarkStart w:id="30" w:name="_Toc338413493"/>
      <w:bookmarkStart w:id="31" w:name="_Toc338413574"/>
      <w:bookmarkStart w:id="32" w:name="_Toc338413616"/>
      <w:bookmarkStart w:id="33" w:name="_Toc338413894"/>
      <w:bookmarkStart w:id="34" w:name="_Toc404331418"/>
      <w:bookmarkStart w:id="35" w:name="_Toc447607034"/>
      <w:r w:rsidRPr="00642C13">
        <w:rPr>
          <w:noProof/>
        </w:rPr>
        <w:lastRenderedPageBreak/>
        <w:t>Prístup učiteľov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C0416E" w:rsidRPr="00265C93" w:rsidRDefault="00C0416E" w:rsidP="00C0416E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265C93">
        <w:rPr>
          <w:rFonts w:ascii="Times New Roman" w:hAnsi="Times New Roman" w:cs="Times New Roman"/>
          <w:noProof/>
          <w:sz w:val="24"/>
          <w:szCs w:val="24"/>
        </w:rPr>
        <w:t xml:space="preserve">Na celkovej atmosfére v triede sa podieľajú nielen vzťahy medzi spolužiakmi, ale aj prístup učiteľov.  Výsledky výskumu ukazujú, že prístup takmer </w:t>
      </w:r>
      <w:r w:rsidRPr="00265C93">
        <w:rPr>
          <w:rFonts w:ascii="Times New Roman" w:hAnsi="Times New Roman" w:cs="Times New Roman"/>
          <w:b/>
          <w:noProof/>
          <w:sz w:val="24"/>
          <w:szCs w:val="24"/>
        </w:rPr>
        <w:t>dvojtretinovej (62,5%) väčšiny</w:t>
      </w:r>
      <w:r w:rsidRPr="00265C93">
        <w:rPr>
          <w:rFonts w:ascii="Times New Roman" w:hAnsi="Times New Roman" w:cs="Times New Roman"/>
          <w:noProof/>
          <w:sz w:val="24"/>
          <w:szCs w:val="24"/>
        </w:rPr>
        <w:t xml:space="preserve"> učiteľov je vnímaný žiakmi základných a stredných škôl ako </w:t>
      </w:r>
      <w:r w:rsidRPr="00265C93">
        <w:rPr>
          <w:rFonts w:ascii="Times New Roman" w:hAnsi="Times New Roman" w:cs="Times New Roman"/>
          <w:b/>
          <w:noProof/>
          <w:sz w:val="24"/>
          <w:szCs w:val="24"/>
        </w:rPr>
        <w:t>partnerský</w:t>
      </w:r>
      <w:r w:rsidRPr="00265C93">
        <w:rPr>
          <w:rFonts w:ascii="Times New Roman" w:hAnsi="Times New Roman" w:cs="Times New Roman"/>
          <w:noProof/>
          <w:sz w:val="24"/>
          <w:szCs w:val="24"/>
        </w:rPr>
        <w:t>,  vyučovanie má  charakter vzájomnej spolupráce žiaka a učiteľa.</w:t>
      </w:r>
      <w:r w:rsidRPr="00265C9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265C93">
        <w:rPr>
          <w:rFonts w:ascii="Times New Roman" w:hAnsi="Times New Roman" w:cs="Times New Roman"/>
          <w:noProof/>
          <w:sz w:val="24"/>
          <w:szCs w:val="24"/>
        </w:rPr>
        <w:t xml:space="preserve">Približne </w:t>
      </w:r>
      <w:r w:rsidRPr="00265C93">
        <w:rPr>
          <w:rFonts w:ascii="Times New Roman" w:hAnsi="Times New Roman" w:cs="Times New Roman"/>
          <w:b/>
          <w:noProof/>
          <w:sz w:val="24"/>
          <w:szCs w:val="24"/>
        </w:rPr>
        <w:t>každý tretí oslovený (32,6%)</w:t>
      </w:r>
      <w:r w:rsidRPr="00265C93">
        <w:rPr>
          <w:rFonts w:ascii="Times New Roman" w:hAnsi="Times New Roman" w:cs="Times New Roman"/>
          <w:noProof/>
          <w:sz w:val="24"/>
          <w:szCs w:val="24"/>
        </w:rPr>
        <w:t xml:space="preserve"> však vníma prístup väčšiny učiteľov ako </w:t>
      </w:r>
      <w:r w:rsidRPr="00265C93">
        <w:rPr>
          <w:rFonts w:ascii="Times New Roman" w:hAnsi="Times New Roman" w:cs="Times New Roman"/>
          <w:b/>
          <w:noProof/>
          <w:sz w:val="24"/>
          <w:szCs w:val="24"/>
        </w:rPr>
        <w:t>direktívny</w:t>
      </w:r>
      <w:r w:rsidRPr="00265C93">
        <w:rPr>
          <w:rFonts w:ascii="Times New Roman" w:hAnsi="Times New Roman" w:cs="Times New Roman"/>
          <w:noProof/>
          <w:sz w:val="24"/>
          <w:szCs w:val="24"/>
        </w:rPr>
        <w:t xml:space="preserve">, založený na zákazoch, príkazoch a povinnostiach.  </w:t>
      </w:r>
    </w:p>
    <w:p w:rsidR="00C0416E" w:rsidRPr="000B0130" w:rsidRDefault="00C0416E" w:rsidP="00C0416E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16E">
        <w:rPr>
          <w:rFonts w:ascii="Times New Roman" w:hAnsi="Times New Roman" w:cs="Times New Roman"/>
          <w:noProof/>
          <w:sz w:val="24"/>
          <w:szCs w:val="24"/>
        </w:rPr>
        <w:t xml:space="preserve">V </w:t>
      </w:r>
      <w:r w:rsidRPr="007A32C4">
        <w:rPr>
          <w:rFonts w:ascii="Times New Roman" w:hAnsi="Times New Roman" w:cs="Times New Roman"/>
          <w:noProof/>
          <w:sz w:val="24"/>
          <w:szCs w:val="24"/>
        </w:rPr>
        <w:t>oboch súboroch prevláda partnerský prístup väčšiny učiteľov k žiakom, kedy vyučovanie má charakter vzájomnej spolupráce. Zaujímavá sa javí skutočnosť, že o niečo výraznejšie sa prejavuje v názoroch respondentov nižšieho stupňa vzdelania, žiakov základných škôl (ZŠ 64,6%, SŠ 59,8%). Odlišná situácia je v prípade direktívneho prístupu učiteľov k žiakom, kde vyššie zastúpenie vykazujú stredné školy  (SŠ 34,7%, SŠ 31,0%). Približne 5% oslovených žiakov základných aj stredných škôl  (ZŠ 4,5%, SŠ 5,5%) prezentovalo iný, nekonkretizovaný príst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up učiteľov k žiakom. </w:t>
      </w:r>
    </w:p>
    <w:p w:rsidR="00C0416E" w:rsidRPr="004239F4" w:rsidRDefault="00C0416E" w:rsidP="00C0416E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239F4">
        <w:rPr>
          <w:rFonts w:ascii="Times New Roman" w:hAnsi="Times New Roman" w:cs="Times New Roman"/>
          <w:b/>
          <w:noProof/>
          <w:sz w:val="24"/>
          <w:szCs w:val="24"/>
        </w:rPr>
        <w:t>Porovnaním</w:t>
      </w:r>
      <w:r w:rsidRPr="004239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239F4">
        <w:rPr>
          <w:rFonts w:ascii="Times New Roman" w:hAnsi="Times New Roman" w:cs="Times New Roman"/>
          <w:b/>
          <w:noProof/>
          <w:sz w:val="24"/>
          <w:szCs w:val="24"/>
        </w:rPr>
        <w:t>získaných výsledkov s výsledkami výskumov realizovaných v rokoch 2007 až</w:t>
      </w:r>
      <w:r w:rsidRPr="004239F4">
        <w:rPr>
          <w:rFonts w:ascii="Times New Roman" w:hAnsi="Times New Roman" w:cs="Times New Roman"/>
          <w:noProof/>
          <w:sz w:val="24"/>
          <w:szCs w:val="24"/>
        </w:rPr>
        <w:t> </w:t>
      </w:r>
      <w:r w:rsidRPr="004239F4">
        <w:rPr>
          <w:rFonts w:ascii="Times New Roman" w:hAnsi="Times New Roman" w:cs="Times New Roman"/>
          <w:b/>
          <w:noProof/>
          <w:sz w:val="24"/>
          <w:szCs w:val="24"/>
        </w:rPr>
        <w:t>2015</w:t>
      </w:r>
      <w:r w:rsidRPr="004239F4">
        <w:rPr>
          <w:rFonts w:ascii="Times New Roman" w:hAnsi="Times New Roman" w:cs="Times New Roman"/>
          <w:noProof/>
          <w:sz w:val="24"/>
          <w:szCs w:val="24"/>
        </w:rPr>
        <w:t xml:space="preserve"> je možné vidieť, že od roku 2009 žiaci vnímajú nárast partnerského prístupu učiteľov a súčasne pokles direktívneho prístupu voči nim. Presnejšie údaje uvádza  tabuľka.</w:t>
      </w:r>
    </w:p>
    <w:p w:rsidR="00C0416E" w:rsidRPr="004239F4" w:rsidRDefault="001871D4" w:rsidP="00C0416E">
      <w:pPr>
        <w:spacing w:after="0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Tabuľka č. 6</w:t>
      </w:r>
      <w:r w:rsidR="00C0416E" w:rsidRPr="004239F4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C0416E" w:rsidRPr="004239F4">
        <w:rPr>
          <w:rFonts w:ascii="Times New Roman" w:hAnsi="Times New Roman" w:cs="Times New Roman"/>
          <w:b/>
          <w:noProof/>
          <w:sz w:val="20"/>
        </w:rPr>
        <w:t>Prístup väčšiny učiteľo</w:t>
      </w:r>
      <w:r w:rsidR="00C0416E">
        <w:rPr>
          <w:rFonts w:ascii="Times New Roman" w:hAnsi="Times New Roman" w:cs="Times New Roman"/>
          <w:b/>
          <w:noProof/>
          <w:sz w:val="20"/>
        </w:rPr>
        <w:t>v k žiakom (v%)</w:t>
      </w:r>
    </w:p>
    <w:tbl>
      <w:tblPr>
        <w:tblW w:w="90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1061"/>
        <w:gridCol w:w="915"/>
        <w:gridCol w:w="809"/>
        <w:gridCol w:w="809"/>
        <w:gridCol w:w="809"/>
      </w:tblGrid>
      <w:tr w:rsidR="00C0416E" w:rsidRPr="004239F4" w:rsidTr="00D25028">
        <w:trPr>
          <w:cantSplit/>
          <w:trHeight w:val="192"/>
        </w:trPr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416E" w:rsidRPr="004239F4" w:rsidRDefault="00C0416E" w:rsidP="00D2502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Prístup väčšiny učiteľov</w:t>
            </w:r>
          </w:p>
        </w:tc>
        <w:tc>
          <w:tcPr>
            <w:tcW w:w="44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0416E" w:rsidRPr="004239F4" w:rsidRDefault="00C0416E" w:rsidP="00D2502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</w:pPr>
          </w:p>
        </w:tc>
      </w:tr>
      <w:tr w:rsidR="00C0416E" w:rsidRPr="004239F4" w:rsidTr="00D25028">
        <w:trPr>
          <w:cantSplit/>
          <w:trHeight w:val="248"/>
        </w:trPr>
        <w:tc>
          <w:tcPr>
            <w:tcW w:w="46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0416E" w:rsidRPr="004239F4" w:rsidRDefault="00C0416E" w:rsidP="00D25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2015</w:t>
            </w:r>
          </w:p>
        </w:tc>
      </w:tr>
      <w:tr w:rsidR="00C0416E" w:rsidRPr="004239F4" w:rsidTr="00D25028">
        <w:trPr>
          <w:trHeight w:val="248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 xml:space="preserve">partnerský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56,0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49,5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50,7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52,1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62,5</w:t>
            </w:r>
          </w:p>
        </w:tc>
      </w:tr>
      <w:tr w:rsidR="00C0416E" w:rsidRPr="004239F4" w:rsidTr="00D25028">
        <w:trPr>
          <w:trHeight w:val="248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 xml:space="preserve">direktívny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37,8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41,3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40,6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38,5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32,6</w:t>
            </w:r>
          </w:p>
        </w:tc>
      </w:tr>
      <w:tr w:rsidR="00C0416E" w:rsidRPr="004239F4" w:rsidTr="00D25028">
        <w:trPr>
          <w:trHeight w:val="27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iný prístup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16E" w:rsidRPr="004239F4" w:rsidRDefault="00C0416E" w:rsidP="00D25028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</w:pPr>
            <w:r w:rsidRPr="004239F4"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4,9</w:t>
            </w:r>
          </w:p>
        </w:tc>
      </w:tr>
    </w:tbl>
    <w:p w:rsidR="00C0416E" w:rsidRDefault="00C0416E" w:rsidP="00C0416E"/>
    <w:p w:rsidR="00BF2969" w:rsidRPr="00C0416E" w:rsidRDefault="00BF2969" w:rsidP="00C0416E"/>
    <w:p w:rsidR="00170F57" w:rsidRPr="00BF2969" w:rsidRDefault="00C0416E" w:rsidP="00562A18">
      <w:pPr>
        <w:pStyle w:val="Nadpis2"/>
        <w:spacing w:before="0" w:line="240" w:lineRule="auto"/>
        <w:rPr>
          <w:noProof/>
          <w:color w:val="548DD4" w:themeColor="text2" w:themeTint="99"/>
        </w:rPr>
      </w:pPr>
      <w:r w:rsidRPr="00BF2969">
        <w:rPr>
          <w:noProof/>
          <w:color w:val="548DD4" w:themeColor="text2" w:themeTint="99"/>
        </w:rPr>
        <w:t>5</w:t>
      </w:r>
      <w:r w:rsidR="00235940" w:rsidRPr="00BF2969">
        <w:rPr>
          <w:noProof/>
          <w:color w:val="548DD4" w:themeColor="text2" w:themeTint="99"/>
        </w:rPr>
        <w:t>. Právne vedomie mládeže</w:t>
      </w:r>
    </w:p>
    <w:p w:rsidR="00235940" w:rsidRPr="00041C4B" w:rsidRDefault="00235940" w:rsidP="00235940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41C4B">
        <w:rPr>
          <w:rFonts w:ascii="Times New Roman" w:hAnsi="Times New Roman" w:cs="Times New Roman"/>
          <w:noProof/>
          <w:sz w:val="24"/>
          <w:szCs w:val="24"/>
        </w:rPr>
        <w:t xml:space="preserve">Výchova a vzdelávanie k ľudským právam sa považuje za základné ľudské právo. V posledných rokoch sa dôraz kladie na vymedzenie priestoru vo výchovno-vzdelávacom procese nielen pre získanie vedomostí a poznatkov a aplikáciu ľudsko-právnych dokumentov, ale najmä pre praktické uplatňovanie ľudských práv v škole. </w:t>
      </w:r>
    </w:p>
    <w:p w:rsidR="00235940" w:rsidRPr="00642C13" w:rsidRDefault="00235940" w:rsidP="00235940">
      <w:pPr>
        <w:pStyle w:val="Nadpis3"/>
        <w:rPr>
          <w:noProof/>
          <w:color w:val="548DD4" w:themeColor="text2" w:themeTint="99"/>
        </w:rPr>
      </w:pPr>
      <w:bookmarkStart w:id="36" w:name="_Toc447607036"/>
      <w:r w:rsidRPr="00642C13">
        <w:rPr>
          <w:noProof/>
          <w:color w:val="548DD4" w:themeColor="text2" w:themeTint="99"/>
        </w:rPr>
        <w:t>Znalosť dokumentu Dohovor o právach dieťaťa</w:t>
      </w:r>
      <w:bookmarkEnd w:id="36"/>
    </w:p>
    <w:p w:rsidR="00235940" w:rsidRPr="00642C13" w:rsidRDefault="00235940" w:rsidP="00235940">
      <w:pPr>
        <w:pStyle w:val="Zarkazkladnhotextu2"/>
        <w:spacing w:after="120"/>
        <w:ind w:firstLine="0"/>
        <w:rPr>
          <w:noProof/>
        </w:rPr>
      </w:pPr>
      <w:r w:rsidRPr="00642C13">
        <w:rPr>
          <w:noProof/>
        </w:rPr>
        <w:t xml:space="preserve">Základným a komplexným dokumentom pojednávajúcim o právach dieťaťa je medzinárodne uznávaný dokument Dohovor o právach dieťaťa. </w:t>
      </w:r>
    </w:p>
    <w:p w:rsidR="00235940" w:rsidRDefault="00235940" w:rsidP="00235940">
      <w:pPr>
        <w:pStyle w:val="Zarkazkladnhotextu2"/>
        <w:ind w:firstLine="0"/>
        <w:rPr>
          <w:noProof/>
        </w:rPr>
      </w:pPr>
      <w:r w:rsidRPr="00240026">
        <w:rPr>
          <w:b/>
          <w:noProof/>
        </w:rPr>
        <w:t>Dohovor o právach dieťaťa</w:t>
      </w:r>
      <w:r w:rsidRPr="004239F4">
        <w:rPr>
          <w:noProof/>
        </w:rPr>
        <w:t xml:space="preserve"> </w:t>
      </w:r>
      <w:r w:rsidRPr="00240026">
        <w:rPr>
          <w:b/>
          <w:noProof/>
        </w:rPr>
        <w:t xml:space="preserve">nepozná </w:t>
      </w:r>
      <w:r w:rsidRPr="004239F4">
        <w:rPr>
          <w:noProof/>
        </w:rPr>
        <w:t xml:space="preserve">prevažná väčšina oslovených žiakov základných a stredných škôl </w:t>
      </w:r>
      <w:r w:rsidRPr="00240026">
        <w:rPr>
          <w:b/>
          <w:noProof/>
        </w:rPr>
        <w:t>(73,1%).</w:t>
      </w:r>
      <w:r w:rsidRPr="004239F4">
        <w:rPr>
          <w:noProof/>
        </w:rPr>
        <w:t xml:space="preserve"> Dokument je </w:t>
      </w:r>
      <w:r w:rsidRPr="00240026">
        <w:rPr>
          <w:b/>
          <w:noProof/>
        </w:rPr>
        <w:t xml:space="preserve">známy </w:t>
      </w:r>
      <w:r w:rsidRPr="00240026">
        <w:rPr>
          <w:noProof/>
        </w:rPr>
        <w:t>pre</w:t>
      </w:r>
      <w:r w:rsidRPr="00240026">
        <w:rPr>
          <w:b/>
          <w:noProof/>
        </w:rPr>
        <w:t xml:space="preserve"> 16,9% </w:t>
      </w:r>
      <w:r w:rsidRPr="00240026">
        <w:rPr>
          <w:noProof/>
        </w:rPr>
        <w:t>žiakov</w:t>
      </w:r>
      <w:r w:rsidRPr="004239F4">
        <w:rPr>
          <w:noProof/>
        </w:rPr>
        <w:t xml:space="preserve">, iba </w:t>
      </w:r>
      <w:r w:rsidRPr="00240026">
        <w:rPr>
          <w:b/>
          <w:noProof/>
        </w:rPr>
        <w:t>15,7%</w:t>
      </w:r>
      <w:r w:rsidRPr="004239F4">
        <w:rPr>
          <w:noProof/>
        </w:rPr>
        <w:t xml:space="preserve"> žiakov z celkového počtu respondentov, ktorí na otázku odpovedali však uviedlo aj </w:t>
      </w:r>
      <w:r w:rsidRPr="00240026">
        <w:rPr>
          <w:b/>
          <w:noProof/>
        </w:rPr>
        <w:t>presný názov</w:t>
      </w:r>
      <w:r w:rsidRPr="004239F4">
        <w:rPr>
          <w:noProof/>
        </w:rPr>
        <w:t xml:space="preserve"> dokumentu s úplným popisom práv dieťaťa. Necelých 9% (</w:t>
      </w:r>
      <w:r w:rsidRPr="00240026">
        <w:rPr>
          <w:b/>
          <w:noProof/>
        </w:rPr>
        <w:t>8,9%) označilo iný dokument</w:t>
      </w:r>
      <w:r w:rsidRPr="004239F4">
        <w:rPr>
          <w:noProof/>
        </w:rPr>
        <w:t xml:space="preserve"> o právach dieťaťa a ľudských právach.</w:t>
      </w:r>
    </w:p>
    <w:p w:rsidR="007F3D91" w:rsidRPr="004239F4" w:rsidRDefault="007F3D91" w:rsidP="00235940">
      <w:pPr>
        <w:pStyle w:val="Zarkazkladnhotextu2"/>
        <w:ind w:firstLine="0"/>
        <w:rPr>
          <w:noProof/>
        </w:rPr>
      </w:pPr>
    </w:p>
    <w:p w:rsidR="00170F57" w:rsidRDefault="007F3D91" w:rsidP="00C0416E">
      <w:pPr>
        <w:pStyle w:val="Zarkazkladnhotextu2"/>
        <w:ind w:firstLine="0"/>
        <w:rPr>
          <w:b/>
          <w:noProof/>
          <w:sz w:val="20"/>
        </w:rPr>
      </w:pPr>
      <w:r>
        <w:rPr>
          <w:b/>
          <w:noProof/>
        </w:rPr>
        <w:t>Komparácia údajov</w:t>
      </w:r>
      <w:r w:rsidRPr="00055639">
        <w:rPr>
          <w:b/>
          <w:noProof/>
        </w:rPr>
        <w:t xml:space="preserve"> za celé obdobie zisťovania (roky 2005, 2008, 2011, 2013, 2015)</w:t>
      </w:r>
      <w:r>
        <w:rPr>
          <w:b/>
          <w:noProof/>
        </w:rPr>
        <w:t xml:space="preserve"> </w:t>
      </w:r>
      <w:r w:rsidRPr="007F3D91">
        <w:rPr>
          <w:noProof/>
        </w:rPr>
        <w:t>dokumentuje, že</w:t>
      </w:r>
      <w:r>
        <w:rPr>
          <w:b/>
          <w:noProof/>
        </w:rPr>
        <w:t xml:space="preserve"> </w:t>
      </w:r>
      <w:r>
        <w:rPr>
          <w:noProof/>
        </w:rPr>
        <w:t>v</w:t>
      </w:r>
      <w:r w:rsidRPr="00055639">
        <w:rPr>
          <w:noProof/>
        </w:rPr>
        <w:t xml:space="preserve"> súčasnosti výrazne klesol počet žiakov, ktorí potvrdili znalosť Dohovoru o právach dieťaťa a to bez konkrétneho uvedenia názvu dokumentu. Uvedená hodnota je takmer identická s výsledkami </w:t>
      </w:r>
      <w:r>
        <w:rPr>
          <w:noProof/>
        </w:rPr>
        <w:t xml:space="preserve">z </w:t>
      </w:r>
      <w:r w:rsidRPr="00055639">
        <w:rPr>
          <w:noProof/>
        </w:rPr>
        <w:t>prvej vlny zisťovania - spred 10 rokov, v roku 2005. Súčasne od roku 2011 klesá aj percento tých, ktorí označili konkrétny Dohovor o právach dieťať</w:t>
      </w:r>
      <w:r w:rsidR="001871D4">
        <w:rPr>
          <w:noProof/>
        </w:rPr>
        <w:t>a a na druhej strane neustále rastie</w:t>
      </w:r>
      <w:r w:rsidRPr="00055639">
        <w:rPr>
          <w:noProof/>
        </w:rPr>
        <w:t xml:space="preserve"> počet žiakov označujúcich iný dokument. Vo všeobecnosti tak možno konštatovať, že žiaci poznajú konkrétny dokument  (Dohovor o pávach dieťaťa) v stále menšej miere a zároveň </w:t>
      </w:r>
      <w:r>
        <w:rPr>
          <w:noProof/>
        </w:rPr>
        <w:t>sa zvyšuje  podiel tých</w:t>
      </w:r>
      <w:r w:rsidRPr="00055639">
        <w:rPr>
          <w:noProof/>
        </w:rPr>
        <w:t xml:space="preserve">, ktorí poznajú dokumenty o ľudských </w:t>
      </w:r>
      <w:r w:rsidRPr="00055639">
        <w:rPr>
          <w:noProof/>
        </w:rPr>
        <w:lastRenderedPageBreak/>
        <w:t>právach a právach dieťaťa</w:t>
      </w:r>
      <w:r>
        <w:rPr>
          <w:noProof/>
        </w:rPr>
        <w:t>,</w:t>
      </w:r>
      <w:r w:rsidRPr="00055639">
        <w:rPr>
          <w:noProof/>
        </w:rPr>
        <w:t xml:space="preserve"> avšak nevedia presný názov dokumentu</w:t>
      </w:r>
      <w:r>
        <w:rPr>
          <w:noProof/>
        </w:rPr>
        <w:t xml:space="preserve"> sumarizujúceh</w:t>
      </w:r>
      <w:r w:rsidRPr="00055639">
        <w:rPr>
          <w:noProof/>
        </w:rPr>
        <w:t>o komplexne práva dieťaťa.</w:t>
      </w:r>
    </w:p>
    <w:p w:rsidR="00170F57" w:rsidRDefault="00170F57" w:rsidP="00231ED3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231ED3" w:rsidRPr="0018557C" w:rsidRDefault="001871D4" w:rsidP="00231ED3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Graf č. 4</w:t>
      </w:r>
      <w:r w:rsidR="00231ED3" w:rsidRPr="008C38F9">
        <w:rPr>
          <w:rFonts w:ascii="Times New Roman" w:hAnsi="Times New Roman" w:cs="Times New Roman"/>
          <w:b/>
          <w:noProof/>
          <w:sz w:val="20"/>
          <w:szCs w:val="20"/>
        </w:rPr>
        <w:t xml:space="preserve">  Znalosť dokumentu Dohovor o právach dieťaťa v r. 2005, 2008, 2011, 2013 a 2015</w:t>
      </w:r>
      <w:r w:rsidR="00231ED3">
        <w:rPr>
          <w:rFonts w:ascii="Times New Roman" w:hAnsi="Times New Roman" w:cs="Times New Roman"/>
          <w:b/>
          <w:noProof/>
          <w:sz w:val="20"/>
          <w:szCs w:val="20"/>
        </w:rPr>
        <w:t xml:space="preserve">  (v %)</w:t>
      </w:r>
    </w:p>
    <w:p w:rsidR="00231ED3" w:rsidRPr="00941D99" w:rsidRDefault="00231ED3" w:rsidP="00231ED3">
      <w:pPr>
        <w:pStyle w:val="Zarkazkladnhotextu2"/>
        <w:ind w:firstLine="0"/>
        <w:jc w:val="left"/>
        <w:rPr>
          <w:noProof/>
          <w:color w:val="FF0000"/>
          <w:lang w:eastAsia="sk-SK"/>
        </w:rPr>
      </w:pPr>
      <w:r>
        <w:rPr>
          <w:noProof/>
          <w:color w:val="FF0000"/>
          <w:lang w:eastAsia="sk-SK"/>
        </w:rPr>
        <w:drawing>
          <wp:inline distT="0" distB="0" distL="0" distR="0" wp14:anchorId="5E41FC19" wp14:editId="24714644">
            <wp:extent cx="5775960" cy="168402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1ED3" w:rsidRDefault="00231ED3" w:rsidP="00231ED3">
      <w:pPr>
        <w:pStyle w:val="Zarkazkladnhotextu2"/>
        <w:spacing w:after="120"/>
        <w:ind w:firstLine="0"/>
        <w:jc w:val="left"/>
        <w:rPr>
          <w:noProof/>
          <w:sz w:val="20"/>
        </w:rPr>
      </w:pPr>
      <w:r w:rsidRPr="008C38F9">
        <w:rPr>
          <w:noProof/>
          <w:sz w:val="20"/>
        </w:rPr>
        <w:t xml:space="preserve">Poznámka: </w:t>
      </w:r>
      <w:r>
        <w:rPr>
          <w:noProof/>
          <w:sz w:val="20"/>
        </w:rPr>
        <w:t xml:space="preserve">sumár odpovedí </w:t>
      </w:r>
      <w:r w:rsidRPr="008C38F9">
        <w:rPr>
          <w:noProof/>
          <w:sz w:val="20"/>
        </w:rPr>
        <w:t xml:space="preserve"> žiakov, ktorí poznajú </w:t>
      </w:r>
      <w:r>
        <w:rPr>
          <w:noProof/>
          <w:sz w:val="20"/>
        </w:rPr>
        <w:t xml:space="preserve"> </w:t>
      </w:r>
      <w:r w:rsidRPr="008C38F9">
        <w:rPr>
          <w:noProof/>
          <w:sz w:val="20"/>
        </w:rPr>
        <w:t>dokument</w:t>
      </w:r>
      <w:r>
        <w:rPr>
          <w:noProof/>
          <w:sz w:val="20"/>
        </w:rPr>
        <w:t xml:space="preserve"> </w:t>
      </w:r>
      <w:r w:rsidRPr="008C38F9">
        <w:rPr>
          <w:noProof/>
          <w:sz w:val="20"/>
        </w:rPr>
        <w:t xml:space="preserve"> popisujúci práva dieťaťa </w:t>
      </w:r>
    </w:p>
    <w:p w:rsidR="00E97F98" w:rsidRPr="001028BC" w:rsidRDefault="00E97F98" w:rsidP="0048400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28BC" w:rsidRDefault="001028BC" w:rsidP="00102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0F57" w:rsidRDefault="008C7DDB" w:rsidP="001028BC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028BC">
        <w:rPr>
          <w:rFonts w:ascii="Times New Roman" w:hAnsi="Times New Roman" w:cs="Times New Roman"/>
          <w:i/>
          <w:noProof/>
          <w:sz w:val="24"/>
          <w:szCs w:val="24"/>
        </w:rPr>
        <w:t>Dlhodobý kontinu</w:t>
      </w:r>
      <w:r w:rsidR="001A68A2" w:rsidRPr="001028BC">
        <w:rPr>
          <w:rFonts w:ascii="Times New Roman" w:hAnsi="Times New Roman" w:cs="Times New Roman"/>
          <w:i/>
          <w:noProof/>
          <w:sz w:val="24"/>
          <w:szCs w:val="24"/>
        </w:rPr>
        <w:t xml:space="preserve">álny výskum ľudských práv prináša so sebou množstvo informácii a to ako z pohľadu samotných žiakov základných a stredných škôl tak aj ich pedagógov a načrtáva vývojové trendy v skúmanej oblasti. </w:t>
      </w:r>
    </w:p>
    <w:p w:rsidR="001028BC" w:rsidRDefault="001028BC" w:rsidP="001028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BC">
        <w:rPr>
          <w:rFonts w:ascii="Times New Roman" w:hAnsi="Times New Roman" w:cs="Times New Roman"/>
          <w:i/>
          <w:sz w:val="24"/>
          <w:szCs w:val="24"/>
        </w:rPr>
        <w:t xml:space="preserve">Školské prostredie je ideálnym prostredím pre formovanie detí a mládeže k ochrane a rešpektovaniu ľudských práv. Učiteľ má možnosť pomáhať pri ich aplikácii v prostredí školy, pomáhať predchádzať všetkým formám diskriminácie, rasizmu, xenofóbie, zlepšovať vzťahy medzi ľuďmi, presadzovať prvky </w:t>
      </w:r>
      <w:proofErr w:type="spellStart"/>
      <w:r w:rsidRPr="001028BC">
        <w:rPr>
          <w:rFonts w:ascii="Times New Roman" w:hAnsi="Times New Roman" w:cs="Times New Roman"/>
          <w:i/>
          <w:sz w:val="24"/>
          <w:szCs w:val="24"/>
        </w:rPr>
        <w:t>multikulturalizmu</w:t>
      </w:r>
      <w:proofErr w:type="spellEnd"/>
      <w:r w:rsidRPr="001028BC">
        <w:rPr>
          <w:rFonts w:ascii="Times New Roman" w:hAnsi="Times New Roman" w:cs="Times New Roman"/>
          <w:i/>
          <w:sz w:val="24"/>
          <w:szCs w:val="24"/>
        </w:rPr>
        <w:t xml:space="preserve"> a tolerancie. Získané informácie z oblasti ľudských práv je možné využiť pri tvorbe školských vzdelávacích programov a učebných osnov jednotlivých vyučovacích predmetov, ako aj pri koncipovaní školských stratégií a pri oboznamovaní verejnosti.</w:t>
      </w:r>
    </w:p>
    <w:p w:rsidR="001028BC" w:rsidRPr="001028BC" w:rsidRDefault="001028BC" w:rsidP="001028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BC">
        <w:rPr>
          <w:rFonts w:ascii="Times New Roman" w:hAnsi="Times New Roman" w:cs="Times New Roman"/>
          <w:i/>
          <w:sz w:val="24"/>
          <w:szCs w:val="24"/>
        </w:rPr>
        <w:t>V súvislosti s výskumnými zisteniami navrhujeme:</w:t>
      </w:r>
    </w:p>
    <w:p w:rsidR="001028BC" w:rsidRPr="001028BC" w:rsidRDefault="001028BC" w:rsidP="0010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BC">
        <w:rPr>
          <w:rFonts w:ascii="Times New Roman" w:hAnsi="Times New Roman" w:cs="Times New Roman"/>
          <w:i/>
          <w:sz w:val="24"/>
          <w:szCs w:val="24"/>
        </w:rPr>
        <w:t>Prehlbovať výučbu ľudských práv a práv dieťaťa implementáciou do školských vzdelávacích programov a učebných osnov</w:t>
      </w:r>
      <w:r w:rsidR="00877B1F">
        <w:rPr>
          <w:rFonts w:ascii="Times New Roman" w:hAnsi="Times New Roman" w:cs="Times New Roman"/>
          <w:i/>
          <w:sz w:val="24"/>
          <w:szCs w:val="24"/>
        </w:rPr>
        <w:t xml:space="preserve"> a posilňovať tak vedomosti žiakov o základných dokumentoch ľudských práv</w:t>
      </w:r>
      <w:r w:rsidRPr="001028BC">
        <w:rPr>
          <w:rFonts w:ascii="Times New Roman" w:hAnsi="Times New Roman" w:cs="Times New Roman"/>
          <w:i/>
          <w:sz w:val="24"/>
          <w:szCs w:val="24"/>
        </w:rPr>
        <w:t>.</w:t>
      </w:r>
    </w:p>
    <w:p w:rsidR="001028BC" w:rsidRPr="001028BC" w:rsidRDefault="001028BC" w:rsidP="0010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BC">
        <w:rPr>
          <w:rFonts w:ascii="Times New Roman" w:hAnsi="Times New Roman" w:cs="Times New Roman"/>
          <w:i/>
          <w:sz w:val="24"/>
          <w:szCs w:val="24"/>
        </w:rPr>
        <w:t>Posilňovať inovatívne a aktívne formy a metódy výučby ľudských práv v základných aj stredných školách.</w:t>
      </w:r>
    </w:p>
    <w:p w:rsidR="001028BC" w:rsidRPr="001028BC" w:rsidRDefault="001028BC" w:rsidP="0010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BC">
        <w:rPr>
          <w:rFonts w:ascii="Times New Roman" w:hAnsi="Times New Roman" w:cs="Times New Roman"/>
          <w:i/>
          <w:sz w:val="24"/>
          <w:szCs w:val="24"/>
        </w:rPr>
        <w:t xml:space="preserve">Podporovať participáciu školy v aktivitách zameraných na ľudské práva, osobitne v Olympiáde ľudských práv a motivovať pedagógov pri príprave a zapájaní žiakov. </w:t>
      </w:r>
    </w:p>
    <w:p w:rsidR="001028BC" w:rsidRPr="001028BC" w:rsidRDefault="001028BC" w:rsidP="0010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BC">
        <w:rPr>
          <w:rFonts w:ascii="Times New Roman" w:hAnsi="Times New Roman" w:cs="Times New Roman"/>
          <w:i/>
          <w:sz w:val="24"/>
          <w:szCs w:val="24"/>
        </w:rPr>
        <w:t>Formovať vedomosti, životné zručnosti a postoje v oblasti ľudských práv v celoeurópskom rozmere.</w:t>
      </w:r>
    </w:p>
    <w:p w:rsidR="001028BC" w:rsidRPr="001028BC" w:rsidRDefault="001028BC" w:rsidP="0010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BC">
        <w:rPr>
          <w:rFonts w:ascii="Times New Roman" w:hAnsi="Times New Roman" w:cs="Times New Roman"/>
          <w:i/>
          <w:sz w:val="24"/>
          <w:szCs w:val="24"/>
        </w:rPr>
        <w:t xml:space="preserve">Rozvíjať pedagogické spôsobilosti, cieľavedomé činnosti orientované na riešenie </w:t>
      </w:r>
      <w:proofErr w:type="spellStart"/>
      <w:r w:rsidRPr="001028BC">
        <w:rPr>
          <w:rFonts w:ascii="Times New Roman" w:hAnsi="Times New Roman" w:cs="Times New Roman"/>
          <w:i/>
          <w:sz w:val="24"/>
          <w:szCs w:val="24"/>
        </w:rPr>
        <w:t>ľudskoprávnych</w:t>
      </w:r>
      <w:proofErr w:type="spellEnd"/>
      <w:r w:rsidRPr="001028BC">
        <w:rPr>
          <w:rFonts w:ascii="Times New Roman" w:hAnsi="Times New Roman" w:cs="Times New Roman"/>
          <w:i/>
          <w:sz w:val="24"/>
          <w:szCs w:val="24"/>
        </w:rPr>
        <w:t xml:space="preserve"> problémov a dosahovať tak efektívnejšie ciele.</w:t>
      </w:r>
    </w:p>
    <w:p w:rsidR="001028BC" w:rsidRPr="001028BC" w:rsidRDefault="001028BC" w:rsidP="0010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BC">
        <w:rPr>
          <w:rFonts w:ascii="Times New Roman" w:hAnsi="Times New Roman" w:cs="Times New Roman"/>
          <w:i/>
          <w:sz w:val="24"/>
          <w:szCs w:val="24"/>
        </w:rPr>
        <w:t xml:space="preserve">Podporovať rozširovanie právneho vedomie nielen žiakov, ale aj učiteľov v oblasti občianskeho, rodinného a pracovného práva. </w:t>
      </w:r>
    </w:p>
    <w:p w:rsidR="001028BC" w:rsidRPr="001028BC" w:rsidRDefault="001028BC" w:rsidP="001028B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68A2" w:rsidRDefault="001A68A2" w:rsidP="001A68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A68A2" w:rsidRPr="00355F04" w:rsidRDefault="001A68A2" w:rsidP="0048400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1A68A2" w:rsidRPr="0035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3E" w:rsidRDefault="00FB5F3E" w:rsidP="00B67D76">
      <w:pPr>
        <w:spacing w:after="0" w:line="240" w:lineRule="auto"/>
      </w:pPr>
      <w:r>
        <w:separator/>
      </w:r>
    </w:p>
  </w:endnote>
  <w:endnote w:type="continuationSeparator" w:id="0">
    <w:p w:rsidR="00FB5F3E" w:rsidRDefault="00FB5F3E" w:rsidP="00B6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3E" w:rsidRDefault="00FB5F3E" w:rsidP="00B67D76">
      <w:pPr>
        <w:spacing w:after="0" w:line="240" w:lineRule="auto"/>
      </w:pPr>
      <w:r>
        <w:separator/>
      </w:r>
    </w:p>
  </w:footnote>
  <w:footnote w:type="continuationSeparator" w:id="0">
    <w:p w:rsidR="00FB5F3E" w:rsidRDefault="00FB5F3E" w:rsidP="00B67D76">
      <w:pPr>
        <w:spacing w:after="0" w:line="240" w:lineRule="auto"/>
      </w:pPr>
      <w:r>
        <w:continuationSeparator/>
      </w:r>
    </w:p>
  </w:footnote>
  <w:footnote w:id="1">
    <w:p w:rsidR="00B67D76" w:rsidRDefault="00B67D76" w:rsidP="00B67D7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Bagalová</w:t>
      </w:r>
      <w:proofErr w:type="spellEnd"/>
      <w:r>
        <w:t xml:space="preserve">, L.:, </w:t>
      </w:r>
      <w:proofErr w:type="spellStart"/>
      <w:r>
        <w:t>Gogolová</w:t>
      </w:r>
      <w:proofErr w:type="spellEnd"/>
      <w:r>
        <w:t>, D.: Ľudské práva a zručnosti potrebné na ich uplatnenie, ŠPÚ Bratislava 2007, ISBN 978-80-89225-26-2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FDC"/>
    <w:multiLevelType w:val="hybridMultilevel"/>
    <w:tmpl w:val="A142E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73DE0"/>
    <w:multiLevelType w:val="hybridMultilevel"/>
    <w:tmpl w:val="0E8C5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B4687"/>
    <w:multiLevelType w:val="hybridMultilevel"/>
    <w:tmpl w:val="93A4A1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1C"/>
    <w:rsid w:val="000413B3"/>
    <w:rsid w:val="0006657D"/>
    <w:rsid w:val="00072055"/>
    <w:rsid w:val="001028BC"/>
    <w:rsid w:val="00170F57"/>
    <w:rsid w:val="001871D4"/>
    <w:rsid w:val="00195ECF"/>
    <w:rsid w:val="001A2A76"/>
    <w:rsid w:val="001A68A2"/>
    <w:rsid w:val="00231ED3"/>
    <w:rsid w:val="002350C9"/>
    <w:rsid w:val="00235940"/>
    <w:rsid w:val="00270FBA"/>
    <w:rsid w:val="003A14EF"/>
    <w:rsid w:val="00440457"/>
    <w:rsid w:val="00456768"/>
    <w:rsid w:val="00484009"/>
    <w:rsid w:val="00547A8B"/>
    <w:rsid w:val="00562A18"/>
    <w:rsid w:val="005E3370"/>
    <w:rsid w:val="005F44AD"/>
    <w:rsid w:val="00634E1C"/>
    <w:rsid w:val="00663EA8"/>
    <w:rsid w:val="00706E6C"/>
    <w:rsid w:val="007E2C46"/>
    <w:rsid w:val="007F3D91"/>
    <w:rsid w:val="00877B1F"/>
    <w:rsid w:val="008C7DDB"/>
    <w:rsid w:val="009023AD"/>
    <w:rsid w:val="0092037A"/>
    <w:rsid w:val="0097311C"/>
    <w:rsid w:val="009A27D2"/>
    <w:rsid w:val="009B3D10"/>
    <w:rsid w:val="009C697F"/>
    <w:rsid w:val="00A52EE3"/>
    <w:rsid w:val="00A667BD"/>
    <w:rsid w:val="00B67D76"/>
    <w:rsid w:val="00B73EEB"/>
    <w:rsid w:val="00BE0A62"/>
    <w:rsid w:val="00BF2969"/>
    <w:rsid w:val="00C0416E"/>
    <w:rsid w:val="00CD1B59"/>
    <w:rsid w:val="00D01434"/>
    <w:rsid w:val="00D05094"/>
    <w:rsid w:val="00D57113"/>
    <w:rsid w:val="00E132C0"/>
    <w:rsid w:val="00E345AD"/>
    <w:rsid w:val="00E52242"/>
    <w:rsid w:val="00E97F98"/>
    <w:rsid w:val="00EE7136"/>
    <w:rsid w:val="00EF7104"/>
    <w:rsid w:val="00F02A13"/>
    <w:rsid w:val="00F750CB"/>
    <w:rsid w:val="00F8386B"/>
    <w:rsid w:val="00FB447B"/>
    <w:rsid w:val="00FB5F3E"/>
    <w:rsid w:val="00FE5F61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F7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B67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B67D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BE0A6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E0A62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basedOn w:val="Predvolenpsmoodseku"/>
    <w:link w:val="Nadpis1"/>
    <w:rsid w:val="00EF7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B67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B67D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mkypodiarou">
    <w:name w:val="footnote text"/>
    <w:basedOn w:val="Normlny"/>
    <w:link w:val="TextpoznmkypodiarouChar"/>
    <w:semiHidden/>
    <w:unhideWhenUsed/>
    <w:rsid w:val="00B67D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67D76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B67D76"/>
    <w:rPr>
      <w:vertAlign w:val="superscript"/>
    </w:rPr>
  </w:style>
  <w:style w:type="paragraph" w:styleId="Zkladntext">
    <w:name w:val="Body Text"/>
    <w:basedOn w:val="Normlny"/>
    <w:link w:val="ZkladntextChar"/>
    <w:unhideWhenUsed/>
    <w:rsid w:val="0007205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072055"/>
  </w:style>
  <w:style w:type="paragraph" w:styleId="Textbubliny">
    <w:name w:val="Balloon Text"/>
    <w:basedOn w:val="Normlny"/>
    <w:link w:val="TextbublinyChar"/>
    <w:uiPriority w:val="99"/>
    <w:semiHidden/>
    <w:unhideWhenUsed/>
    <w:rsid w:val="0070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E6C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041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04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F7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B67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B67D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BE0A6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E0A62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basedOn w:val="Predvolenpsmoodseku"/>
    <w:link w:val="Nadpis1"/>
    <w:rsid w:val="00EF7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B67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B67D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mkypodiarou">
    <w:name w:val="footnote text"/>
    <w:basedOn w:val="Normlny"/>
    <w:link w:val="TextpoznmkypodiarouChar"/>
    <w:semiHidden/>
    <w:unhideWhenUsed/>
    <w:rsid w:val="00B67D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67D76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B67D76"/>
    <w:rPr>
      <w:vertAlign w:val="superscript"/>
    </w:rPr>
  </w:style>
  <w:style w:type="paragraph" w:styleId="Zkladntext">
    <w:name w:val="Body Text"/>
    <w:basedOn w:val="Normlny"/>
    <w:link w:val="ZkladntextChar"/>
    <w:unhideWhenUsed/>
    <w:rsid w:val="0007205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072055"/>
  </w:style>
  <w:style w:type="paragraph" w:styleId="Textbubliny">
    <w:name w:val="Balloon Text"/>
    <w:basedOn w:val="Normlny"/>
    <w:link w:val="TextbublinyChar"/>
    <w:uiPriority w:val="99"/>
    <w:semiHidden/>
    <w:unhideWhenUsed/>
    <w:rsid w:val="0070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E6C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041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0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20"/>
      <c:rotY val="0"/>
      <c:rAngAx val="0"/>
      <c:perspective val="0"/>
    </c:view3D>
    <c:floor>
      <c:thickness val="0"/>
      <c:spPr>
        <a:solidFill>
          <a:schemeClr val="bg1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793164425373794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áno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2246125694584274E-3"/>
                  <c:y val="-1.035437035627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684809755442751E-3"/>
                  <c:y val="-2.859134430626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219045297669702E-3"/>
                  <c:y val="-1.680265797591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405034053183468E-3"/>
                  <c:y val="-7.09209174940081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526675921902764E-3"/>
                  <c:y val="-1.5564463052390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5105740181268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197850100500561E-3"/>
                  <c:y val="-1.573217245125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793382152937479E-3"/>
                  <c:y val="-2.0984688092236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BA</c:v>
                </c:pt>
                <c:pt idx="1">
                  <c:v>TT</c:v>
                </c:pt>
                <c:pt idx="2">
                  <c:v>TN</c:v>
                </c:pt>
                <c:pt idx="3">
                  <c:v>NR</c:v>
                </c:pt>
                <c:pt idx="4">
                  <c:v>ZA</c:v>
                </c:pt>
                <c:pt idx="5">
                  <c:v>BB</c:v>
                </c:pt>
                <c:pt idx="6">
                  <c:v>PO</c:v>
                </c:pt>
                <c:pt idx="7">
                  <c:v>KE</c:v>
                </c:pt>
              </c:strCache>
            </c:strRef>
          </c:cat>
          <c:val>
            <c:numRef>
              <c:f>Sheet1!$B$2:$I$2</c:f>
              <c:numCache>
                <c:formatCode>0.0</c:formatCode>
                <c:ptCount val="8"/>
                <c:pt idx="0">
                  <c:v>4.5999999999999996</c:v>
                </c:pt>
                <c:pt idx="1">
                  <c:v>0.6</c:v>
                </c:pt>
                <c:pt idx="2">
                  <c:v>4.9000000000000004</c:v>
                </c:pt>
                <c:pt idx="3">
                  <c:v>3.7</c:v>
                </c:pt>
                <c:pt idx="4">
                  <c:v>5.4</c:v>
                </c:pt>
                <c:pt idx="5">
                  <c:v>1.8</c:v>
                </c:pt>
                <c:pt idx="6">
                  <c:v>3.2</c:v>
                </c:pt>
                <c:pt idx="7">
                  <c:v>1.4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BA</c:v>
                </c:pt>
                <c:pt idx="1">
                  <c:v>TT</c:v>
                </c:pt>
                <c:pt idx="2">
                  <c:v>TN</c:v>
                </c:pt>
                <c:pt idx="3">
                  <c:v>NR</c:v>
                </c:pt>
                <c:pt idx="4">
                  <c:v>ZA</c:v>
                </c:pt>
                <c:pt idx="5">
                  <c:v>BB</c:v>
                </c:pt>
                <c:pt idx="6">
                  <c:v>PO</c:v>
                </c:pt>
                <c:pt idx="7">
                  <c:v>KE</c:v>
                </c:pt>
              </c:strCache>
            </c:strRef>
          </c:cat>
          <c:val>
            <c:numRef>
              <c:f>Sheet1!$B$3:$I$3</c:f>
              <c:numCache>
                <c:formatCode>0.0</c:formatCode>
                <c:ptCount val="8"/>
                <c:pt idx="0">
                  <c:v>23.8</c:v>
                </c:pt>
                <c:pt idx="1">
                  <c:v>20.399999999999999</c:v>
                </c:pt>
                <c:pt idx="2">
                  <c:v>14.3</c:v>
                </c:pt>
                <c:pt idx="3">
                  <c:v>15.1</c:v>
                </c:pt>
                <c:pt idx="4">
                  <c:v>25.3</c:v>
                </c:pt>
                <c:pt idx="5">
                  <c:v>17.100000000000001</c:v>
                </c:pt>
                <c:pt idx="6">
                  <c:v>25.6</c:v>
                </c:pt>
                <c:pt idx="7">
                  <c:v>25.2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neviem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014098690835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5105740181268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662664306934716E-7"/>
                  <c:y val="-2.014098690835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662664306934716E-7"/>
                  <c:y val="-2.014098690835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5105740181268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431583669807087E-3"/>
                  <c:y val="-1.5105740181268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2431583669807087E-3"/>
                  <c:y val="-1.5105740181268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431583669807113E-3"/>
                  <c:y val="-1.5105740181268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BA</c:v>
                </c:pt>
                <c:pt idx="1">
                  <c:v>TT</c:v>
                </c:pt>
                <c:pt idx="2">
                  <c:v>TN</c:v>
                </c:pt>
                <c:pt idx="3">
                  <c:v>NR</c:v>
                </c:pt>
                <c:pt idx="4">
                  <c:v>ZA</c:v>
                </c:pt>
                <c:pt idx="5">
                  <c:v>BB</c:v>
                </c:pt>
                <c:pt idx="6">
                  <c:v>PO</c:v>
                </c:pt>
                <c:pt idx="7">
                  <c:v>KE</c:v>
                </c:pt>
              </c:strCache>
            </c:strRef>
          </c:cat>
          <c:val>
            <c:numRef>
              <c:f>Sheet1!$B$5:$I$5</c:f>
              <c:numCache>
                <c:formatCode>0.0</c:formatCode>
                <c:ptCount val="8"/>
                <c:pt idx="0">
                  <c:v>65.900000000000006</c:v>
                </c:pt>
                <c:pt idx="1">
                  <c:v>63.2</c:v>
                </c:pt>
                <c:pt idx="2">
                  <c:v>62.2</c:v>
                </c:pt>
                <c:pt idx="3">
                  <c:v>75.599999999999994</c:v>
                </c:pt>
                <c:pt idx="4">
                  <c:v>63.6</c:v>
                </c:pt>
                <c:pt idx="5">
                  <c:v>75.3</c:v>
                </c:pt>
                <c:pt idx="6">
                  <c:v>64.400000000000006</c:v>
                </c:pt>
                <c:pt idx="7">
                  <c:v>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9"/>
        <c:shape val="cylinder"/>
        <c:axId val="100299904"/>
        <c:axId val="100301440"/>
        <c:axId val="0"/>
      </c:bar3DChart>
      <c:catAx>
        <c:axId val="10029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1"/>
            </a:pPr>
            <a:endParaRPr lang="sk-SK"/>
          </a:p>
        </c:txPr>
        <c:crossAx val="100301440"/>
        <c:crosses val="autoZero"/>
        <c:auto val="1"/>
        <c:lblAlgn val="ctr"/>
        <c:lblOffset val="100"/>
        <c:noMultiLvlLbl val="0"/>
      </c:catAx>
      <c:valAx>
        <c:axId val="10030144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0299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003076836122268"/>
          <c:y val="0.92470546167684098"/>
          <c:w val="0.24442478001151605"/>
          <c:h val="5.7637632252490176E-2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800" b="1"/>
          </a:pPr>
          <a:endParaRPr lang="sk-SK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00176366843033E-2"/>
          <c:y val="9.1703056768558958E-2"/>
          <c:w val="0.83956417357279156"/>
          <c:h val="0.68558951965065507"/>
        </c:manualLayout>
      </c:layout>
      <c:areaChart>
        <c:grouping val="stacked"/>
        <c:varyColors val="0"/>
        <c:ser>
          <c:idx val="0"/>
          <c:order val="0"/>
          <c:spPr>
            <a:solidFill>
              <a:schemeClr val="accent1">
                <a:lumMod val="75000"/>
              </a:schemeClr>
            </a:solidFill>
            <a:ln w="1190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001127530924603E-2"/>
                  <c:y val="-8.14884902487628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7.7380952380952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7222256666735556E-7"/>
                  <c:y val="-7.2344322344322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7489063867016627E-3"/>
                  <c:y val="-5.448693913260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03708201986017E-2"/>
                  <c:y val="-0.101867735283089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805">
                <a:noFill/>
              </a:ln>
            </c:spPr>
            <c:txPr>
              <a:bodyPr/>
              <a:lstStyle/>
              <a:p>
                <a:pPr>
                  <a:defRPr sz="843" b="1" i="0" u="none" strike="noStrike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Hárok1!$A$1:$A$6</c:f>
              <c:strCache>
                <c:ptCount val="6"/>
                <c:pt idx="0">
                  <c:v>úplne spokojný</c:v>
                </c:pt>
                <c:pt idx="1">
                  <c:v>skôr spokojný</c:v>
                </c:pt>
                <c:pt idx="2">
                  <c:v>ani spokojný, ani nespokojný</c:v>
                </c:pt>
                <c:pt idx="3">
                  <c:v>skôr nespokojný</c:v>
                </c:pt>
                <c:pt idx="4">
                  <c:v>úplne nespokojný</c:v>
                </c:pt>
                <c:pt idx="5">
                  <c:v>neviem posúdiť</c:v>
                </c:pt>
              </c:strCache>
            </c:strRef>
          </c:cat>
          <c:val>
            <c:numRef>
              <c:f>Hárok1!$B$1:$B$6</c:f>
              <c:numCache>
                <c:formatCode>0.0</c:formatCode>
                <c:ptCount val="6"/>
                <c:pt idx="0">
                  <c:v>14.4</c:v>
                </c:pt>
                <c:pt idx="1">
                  <c:v>28.7</c:v>
                </c:pt>
                <c:pt idx="2">
                  <c:v>20.9</c:v>
                </c:pt>
                <c:pt idx="3">
                  <c:v>4.5999999999999996</c:v>
                </c:pt>
                <c:pt idx="4">
                  <c:v>2.8</c:v>
                </c:pt>
                <c:pt idx="5">
                  <c:v>28.5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00009472"/>
        <c:axId val="100012416"/>
      </c:areaChart>
      <c:catAx>
        <c:axId val="10000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sk-SK"/>
          </a:p>
        </c:txPr>
        <c:crossAx val="100012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01241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29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sk-SK"/>
          </a:p>
        </c:txPr>
        <c:crossAx val="100009472"/>
        <c:crosses val="autoZero"/>
        <c:crossBetween val="midCat"/>
        <c:majorUnit val="10"/>
      </c:valAx>
      <c:spPr>
        <a:solidFill>
          <a:schemeClr val="accent1">
            <a:lumMod val="20000"/>
            <a:lumOff val="80000"/>
          </a:schemeClr>
        </a:solidFill>
        <a:ln w="2976">
          <a:solidFill>
            <a:srgbClr val="00000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3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94000966025080201"/>
          <c:h val="0.689976639517998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Hárok1!$A$2</c:f>
              <c:strCache>
                <c:ptCount val="1"/>
                <c:pt idx="0">
                  <c:v>bez konkrétneho názvu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Hárok1!$B$1:$F$1</c:f>
              <c:strCache>
                <c:ptCount val="5"/>
                <c:pt idx="0">
                  <c:v>2005</c:v>
                </c:pt>
                <c:pt idx="1">
                  <c:v>2008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</c:strCache>
            </c:strRef>
          </c:cat>
          <c:val>
            <c:numRef>
              <c:f>Hárok1!$B$2:$F$2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9.9</c:v>
                </c:pt>
                <c:pt idx="2">
                  <c:v>10.8</c:v>
                </c:pt>
                <c:pt idx="3">
                  <c:v>10.7</c:v>
                </c:pt>
                <c:pt idx="4">
                  <c:v>4.2</c:v>
                </c:pt>
              </c:numCache>
            </c:numRef>
          </c:val>
        </c:ser>
        <c:ser>
          <c:idx val="1"/>
          <c:order val="1"/>
          <c:tx>
            <c:strRef>
              <c:f>Hárok1!$A$3</c:f>
              <c:strCache>
                <c:ptCount val="1"/>
                <c:pt idx="0">
                  <c:v>Dohovor o právach dieťaťa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Hárok1!$B$1:$F$1</c:f>
              <c:strCache>
                <c:ptCount val="5"/>
                <c:pt idx="0">
                  <c:v>2005</c:v>
                </c:pt>
                <c:pt idx="1">
                  <c:v>2008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</c:strCache>
            </c:strRef>
          </c:cat>
          <c:val>
            <c:numRef>
              <c:f>Hárok1!$B$3:$F$3</c:f>
              <c:numCache>
                <c:formatCode>General</c:formatCode>
                <c:ptCount val="5"/>
                <c:pt idx="0">
                  <c:v>67.5</c:v>
                </c:pt>
                <c:pt idx="1">
                  <c:v>70.400000000000006</c:v>
                </c:pt>
                <c:pt idx="2">
                  <c:v>80.599999999999994</c:v>
                </c:pt>
                <c:pt idx="3">
                  <c:v>66.099999999999994</c:v>
                </c:pt>
                <c:pt idx="4">
                  <c:v>61.1</c:v>
                </c:pt>
              </c:numCache>
            </c:numRef>
          </c:val>
        </c:ser>
        <c:ser>
          <c:idx val="2"/>
          <c:order val="2"/>
          <c:tx>
            <c:strRef>
              <c:f>Hárok1!$A$4</c:f>
              <c:strCache>
                <c:ptCount val="1"/>
                <c:pt idx="0">
                  <c:v>iný názov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Hárok1!$B$1:$F$1</c:f>
              <c:strCache>
                <c:ptCount val="5"/>
                <c:pt idx="0">
                  <c:v>2005</c:v>
                </c:pt>
                <c:pt idx="1">
                  <c:v>2008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</c:strCache>
            </c:strRef>
          </c:cat>
          <c:val>
            <c:numRef>
              <c:f>Hárok1!$B$4:$F$4</c:f>
              <c:numCache>
                <c:formatCode>General</c:formatCode>
                <c:ptCount val="5"/>
                <c:pt idx="0">
                  <c:v>28.1</c:v>
                </c:pt>
                <c:pt idx="1">
                  <c:v>19.7</c:v>
                </c:pt>
                <c:pt idx="2">
                  <c:v>8.5</c:v>
                </c:pt>
                <c:pt idx="3">
                  <c:v>23.2</c:v>
                </c:pt>
                <c:pt idx="4">
                  <c:v>34.6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333824"/>
        <c:axId val="100204544"/>
      </c:barChart>
      <c:catAx>
        <c:axId val="100333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sk-SK"/>
          </a:p>
        </c:txPr>
        <c:crossAx val="100204544"/>
        <c:crosses val="autoZero"/>
        <c:auto val="1"/>
        <c:lblAlgn val="ctr"/>
        <c:lblOffset val="100"/>
        <c:noMultiLvlLbl val="0"/>
      </c:catAx>
      <c:valAx>
        <c:axId val="1002045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#,##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800"/>
            </a:pPr>
            <a:endParaRPr lang="sk-SK"/>
          </a:p>
        </c:txPr>
        <c:crossAx val="100333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414026412925299"/>
          <c:y val="0.85922079310221966"/>
          <c:w val="0.5917192986101012"/>
          <c:h val="9.5530338119499764E-2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800" b="1"/>
          </a:pPr>
          <a:endParaRPr lang="sk-SK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52F3F3-D24B-4652-A7CD-F5C0B2A0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Bielikova</dc:creator>
  <cp:lastModifiedBy>Marcela Bielikova</cp:lastModifiedBy>
  <cp:revision>2</cp:revision>
  <dcterms:created xsi:type="dcterms:W3CDTF">2017-05-16T07:05:00Z</dcterms:created>
  <dcterms:modified xsi:type="dcterms:W3CDTF">2017-05-16T07:05:00Z</dcterms:modified>
</cp:coreProperties>
</file>