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5C" w:rsidRPr="00C679EA" w:rsidRDefault="00261B5C" w:rsidP="00C679EA">
      <w:pPr>
        <w:spacing w:after="120" w:line="240" w:lineRule="auto"/>
        <w:rPr>
          <w:rFonts w:ascii="Times New Roman" w:hAnsi="Times New Roman" w:cs="Times New Roman"/>
          <w:b/>
          <w:sz w:val="32"/>
          <w:szCs w:val="32"/>
        </w:rPr>
      </w:pPr>
      <w:bookmarkStart w:id="0" w:name="_GoBack"/>
      <w:bookmarkEnd w:id="0"/>
      <w:r w:rsidRPr="00C679EA">
        <w:rPr>
          <w:rFonts w:ascii="Times New Roman" w:hAnsi="Times New Roman" w:cs="Times New Roman"/>
          <w:b/>
          <w:sz w:val="32"/>
          <w:szCs w:val="32"/>
        </w:rPr>
        <w:t>Ľudské práva očami učiteľov základných a stredných škôl</w:t>
      </w:r>
      <w:r w:rsidR="00C679EA" w:rsidRPr="00C679EA">
        <w:rPr>
          <w:rFonts w:ascii="Times New Roman" w:hAnsi="Times New Roman" w:cs="Times New Roman"/>
          <w:b/>
          <w:sz w:val="32"/>
          <w:szCs w:val="32"/>
        </w:rPr>
        <w:t xml:space="preserve"> (vývoj ukazovateľov za desať rokov)</w:t>
      </w:r>
    </w:p>
    <w:p w:rsidR="00261B5C" w:rsidRPr="00261B5C" w:rsidRDefault="00261B5C" w:rsidP="00C679EA">
      <w:pPr>
        <w:pStyle w:val="Zarkazkladnhotextu"/>
        <w:spacing w:after="120"/>
        <w:ind w:firstLine="0"/>
        <w:rPr>
          <w:szCs w:val="24"/>
        </w:rPr>
      </w:pPr>
      <w:r>
        <w:rPr>
          <w:szCs w:val="24"/>
        </w:rPr>
        <w:t>Autor: Mgr. Marcela Bieliková</w:t>
      </w:r>
    </w:p>
    <w:p w:rsidR="008C6D2A" w:rsidRDefault="008C6D2A" w:rsidP="002C6F0F">
      <w:pPr>
        <w:rPr>
          <w:rFonts w:ascii="Times New Roman" w:hAnsi="Times New Roman" w:cs="Times New Roman"/>
          <w:i/>
          <w:sz w:val="24"/>
        </w:rPr>
      </w:pPr>
    </w:p>
    <w:p w:rsidR="008A46B9" w:rsidRPr="002C6F0F" w:rsidRDefault="008A46B9" w:rsidP="002C6F0F">
      <w:pPr>
        <w:shd w:val="clear" w:color="auto" w:fill="D9D9D9" w:themeFill="background1" w:themeFillShade="D9"/>
        <w:rPr>
          <w:rFonts w:ascii="Times New Roman" w:hAnsi="Times New Roman" w:cs="Times New Roman"/>
          <w:i/>
          <w:sz w:val="24"/>
        </w:rPr>
      </w:pPr>
      <w:r w:rsidRPr="008A46B9">
        <w:rPr>
          <w:rFonts w:ascii="Times New Roman" w:hAnsi="Times New Roman" w:cs="Times New Roman"/>
          <w:i/>
          <w:sz w:val="24"/>
        </w:rPr>
        <w:t>Mládež je prítomnosťou a budúcnosťou planéty. Veď gen</w:t>
      </w:r>
      <w:r w:rsidR="00C679EA">
        <w:rPr>
          <w:rFonts w:ascii="Times New Roman" w:hAnsi="Times New Roman" w:cs="Times New Roman"/>
          <w:i/>
          <w:sz w:val="24"/>
        </w:rPr>
        <w:t xml:space="preserve">erácia mladých ľudí do 30 rokov </w:t>
      </w:r>
      <w:r w:rsidRPr="008A46B9">
        <w:rPr>
          <w:rFonts w:ascii="Times New Roman" w:hAnsi="Times New Roman" w:cs="Times New Roman"/>
          <w:i/>
          <w:sz w:val="24"/>
        </w:rPr>
        <w:t>predstavuje viac ako polovicu celosvetovej populácie.“ (Martin Mesirky)</w:t>
      </w:r>
    </w:p>
    <w:p w:rsidR="0057621B" w:rsidRDefault="0057621B" w:rsidP="00646294">
      <w:pPr>
        <w:pStyle w:val="Zarkazkladnhotextu2"/>
        <w:spacing w:after="0" w:line="240" w:lineRule="auto"/>
        <w:ind w:left="0"/>
        <w:jc w:val="both"/>
        <w:rPr>
          <w:sz w:val="24"/>
          <w:szCs w:val="24"/>
        </w:rPr>
      </w:pPr>
    </w:p>
    <w:p w:rsidR="008A46B9" w:rsidRDefault="008A46B9" w:rsidP="00646294">
      <w:pPr>
        <w:pStyle w:val="Zarkazkladnhotextu2"/>
        <w:spacing w:after="0" w:line="240" w:lineRule="auto"/>
        <w:ind w:left="0"/>
        <w:jc w:val="both"/>
        <w:rPr>
          <w:sz w:val="24"/>
          <w:szCs w:val="24"/>
        </w:rPr>
      </w:pPr>
      <w:r>
        <w:rPr>
          <w:sz w:val="24"/>
          <w:szCs w:val="24"/>
        </w:rPr>
        <w:t>Príspevok sumarizuje</w:t>
      </w:r>
      <w:r w:rsidR="008C6D2A">
        <w:rPr>
          <w:sz w:val="24"/>
          <w:szCs w:val="24"/>
        </w:rPr>
        <w:t xml:space="preserve"> </w:t>
      </w:r>
      <w:r w:rsidRPr="008A46B9">
        <w:rPr>
          <w:sz w:val="24"/>
          <w:szCs w:val="24"/>
        </w:rPr>
        <w:t> najzaujímav</w:t>
      </w:r>
      <w:r>
        <w:rPr>
          <w:sz w:val="24"/>
          <w:szCs w:val="24"/>
        </w:rPr>
        <w:t>ejšie</w:t>
      </w:r>
      <w:r w:rsidRPr="008A46B9">
        <w:rPr>
          <w:sz w:val="24"/>
          <w:szCs w:val="24"/>
        </w:rPr>
        <w:t xml:space="preserve"> výs</w:t>
      </w:r>
      <w:r>
        <w:rPr>
          <w:sz w:val="24"/>
          <w:szCs w:val="24"/>
        </w:rPr>
        <w:t>ledky</w:t>
      </w:r>
      <w:r w:rsidRPr="008A46B9">
        <w:rPr>
          <w:sz w:val="24"/>
          <w:szCs w:val="24"/>
        </w:rPr>
        <w:t xml:space="preserve"> dlhodobého ce</w:t>
      </w:r>
      <w:r w:rsidR="002163E6">
        <w:rPr>
          <w:sz w:val="24"/>
          <w:szCs w:val="24"/>
        </w:rPr>
        <w:t xml:space="preserve">loslovenského </w:t>
      </w:r>
      <w:r w:rsidRPr="008A46B9">
        <w:rPr>
          <w:sz w:val="24"/>
          <w:szCs w:val="24"/>
        </w:rPr>
        <w:t xml:space="preserve">výskumu vzdelávania a dodržiavania ľudských práv z pohľadu učiteľov základných a stredných škôl. Analýza súčasného stavu výučby k ľudským právam, analýza jej kvality ako aj európskeho rozmeru v oblasti vzdelávania ľudských práv, zmapovanie miery aktivity učiteľov a škôl v oblasti, či analýza dodržiavania </w:t>
      </w:r>
      <w:r w:rsidR="002163E6">
        <w:rPr>
          <w:sz w:val="24"/>
          <w:szCs w:val="24"/>
        </w:rPr>
        <w:t>ľudských práv v školách prispieva</w:t>
      </w:r>
      <w:r w:rsidRPr="008A46B9">
        <w:rPr>
          <w:sz w:val="24"/>
          <w:szCs w:val="24"/>
        </w:rPr>
        <w:t xml:space="preserve"> k vytvoreniu celkového obrazu o vzdelávaní k ľudským právam v podmienkach regionálneho školstva, k napĺňaniu cieľov výchovy a vzdelávania, k špecifikácii problémov vo vzdelávaní v predmetnej oblasti ako aj pri dodržiavaní ľudských práv v školách. Na základe výskumných zistení, vývojových trendov skúmanej problematiky za roky 2004 až 2015 a poznatkov subjektov podieľajúcich sa na plnení Celoštátnej stratégie ochrany a podpory ľudských práv, je možné získané poznatky a problémy nielen definovať, ale navrhnúť aj spôsoby ich riešenia a zvyšovať tak úroveň výchovy a vzdelávania k ľudským právam na Slovensku.</w:t>
      </w:r>
    </w:p>
    <w:p w:rsidR="00646294" w:rsidRDefault="00646294" w:rsidP="00646294">
      <w:pPr>
        <w:pStyle w:val="Zkladntext3"/>
        <w:rPr>
          <w:b/>
          <w:sz w:val="32"/>
          <w:szCs w:val="32"/>
        </w:rPr>
      </w:pPr>
    </w:p>
    <w:p w:rsidR="00646294" w:rsidRPr="00803CCF" w:rsidRDefault="00646294" w:rsidP="002C6F0F">
      <w:pPr>
        <w:pStyle w:val="Zkladntext3"/>
        <w:spacing w:after="0" w:line="240" w:lineRule="auto"/>
        <w:rPr>
          <w:rFonts w:ascii="Times New Roman" w:hAnsi="Times New Roman" w:cs="Times New Roman"/>
          <w:b/>
          <w:sz w:val="32"/>
          <w:szCs w:val="32"/>
        </w:rPr>
      </w:pPr>
      <w:r w:rsidRPr="00803CCF">
        <w:rPr>
          <w:rFonts w:ascii="Times New Roman" w:hAnsi="Times New Roman" w:cs="Times New Roman"/>
          <w:b/>
          <w:sz w:val="32"/>
          <w:szCs w:val="32"/>
        </w:rPr>
        <w:t xml:space="preserve">Výchova a vzdelávanie k ľudským právam </w:t>
      </w:r>
    </w:p>
    <w:p w:rsidR="00646294" w:rsidRPr="003141D8" w:rsidRDefault="00646294" w:rsidP="002C6F0F">
      <w:pPr>
        <w:pStyle w:val="Zarkazkladnhotextu2"/>
        <w:spacing w:after="0" w:line="240" w:lineRule="auto"/>
        <w:ind w:left="0"/>
        <w:jc w:val="both"/>
        <w:rPr>
          <w:sz w:val="24"/>
          <w:szCs w:val="24"/>
        </w:rPr>
      </w:pPr>
      <w:r w:rsidRPr="003141D8">
        <w:rPr>
          <w:sz w:val="24"/>
          <w:szCs w:val="24"/>
        </w:rPr>
        <w:t>Výber výskumnej vzorky pre realizáciu výskumu žiakov a učiteľov základných a stredných škôl zabezpečovala profesionálna agentúra pre zber dát – Agentúra sociálnych analýz, s. r. o. Výberový súbor učiteľov základných a stredných škôl bol vytvorený náhodným výberom pri rovnomernom zastúpení učiteľov oboch stupňov škôl. Výberovými kritériami boli: pohlavie, vek, najvyššie ukončené vzdelanie, pedagogické zameranie, odborná prax, typ školy, veľkosť sídelnej jednotky a kraj SR. Zber empirických dát bol realizovaný dotazníkovou metódou. Po optickej a logickej kontrole dotazníkov bolo štatisticky spracovaných 362 dotazníkov.</w:t>
      </w:r>
      <w:r w:rsidRPr="003141D8">
        <w:t xml:space="preserve"> </w:t>
      </w:r>
      <w:r w:rsidRPr="003141D8">
        <w:rPr>
          <w:sz w:val="24"/>
          <w:szCs w:val="24"/>
        </w:rPr>
        <w:t>Získané údaje boli spracované štatistickým programom SPSS.</w:t>
      </w:r>
    </w:p>
    <w:p w:rsidR="00803CCF" w:rsidRPr="00803CCF" w:rsidRDefault="00803CCF" w:rsidP="00803CCF">
      <w:pPr>
        <w:pStyle w:val="Nadpis2"/>
        <w:rPr>
          <w:b/>
          <w:caps/>
          <w:szCs w:val="24"/>
        </w:rPr>
      </w:pPr>
    </w:p>
    <w:p w:rsidR="00803CCF" w:rsidRPr="00803CCF" w:rsidRDefault="00803CCF" w:rsidP="00803CCF">
      <w:pPr>
        <w:spacing w:after="0" w:line="240" w:lineRule="auto"/>
        <w:rPr>
          <w:rFonts w:ascii="Times New Roman" w:hAnsi="Times New Roman" w:cs="Times New Roman"/>
          <w:b/>
          <w:sz w:val="28"/>
          <w:szCs w:val="28"/>
        </w:rPr>
      </w:pPr>
      <w:r w:rsidRPr="00803CCF">
        <w:rPr>
          <w:rFonts w:ascii="Times New Roman" w:hAnsi="Times New Roman" w:cs="Times New Roman"/>
          <w:b/>
          <w:sz w:val="28"/>
          <w:szCs w:val="28"/>
        </w:rPr>
        <w:t>Spôsob výučby ľudských práv</w:t>
      </w:r>
    </w:p>
    <w:p w:rsidR="00803CCF" w:rsidRPr="003141D8" w:rsidRDefault="00803CCF" w:rsidP="00803CCF">
      <w:pPr>
        <w:pStyle w:val="Normlny12"/>
        <w:ind w:firstLine="0"/>
        <w:rPr>
          <w:sz w:val="18"/>
          <w:szCs w:val="18"/>
        </w:rPr>
      </w:pPr>
      <w:r w:rsidRPr="003141D8">
        <w:rPr>
          <w:color w:val="auto"/>
        </w:rPr>
        <w:t xml:space="preserve">Všetky vplyvy prostredia, ktoré obohacujú detskú skúsenosť formujú jeho osobnosť. Patria k nim predovšetkým rodičia a škola, učitelia, vychovávatelia, trieda ako sociálna skupina, ďalej súrodenci, priatelia, spolužiaci a vôbec ľudia, s ktorými dieťa prichádza do styku, ale aj literatúra a umenie, rozhlas, televízia, noviny, internet atď. V čase mimo vyučovania, ako to uvádza Emília Kratochvílová </w:t>
      </w:r>
      <w:r w:rsidRPr="003141D8">
        <w:rPr>
          <w:i/>
          <w:color w:val="auto"/>
        </w:rPr>
        <w:t>„...nadväzuje na výchovu v rodine a škole“</w:t>
      </w:r>
      <w:r w:rsidRPr="003141D8">
        <w:rPr>
          <w:color w:val="auto"/>
        </w:rPr>
        <w:t>.</w:t>
      </w:r>
      <w:r w:rsidRPr="003141D8">
        <w:rPr>
          <w:rStyle w:val="Odkaznapoznmkupodiarou"/>
          <w:color w:val="auto"/>
        </w:rPr>
        <w:footnoteReference w:id="1"/>
      </w:r>
      <w:r w:rsidRPr="003141D8">
        <w:rPr>
          <w:color w:val="auto"/>
        </w:rPr>
        <w:t xml:space="preserve"> Z tohto je zjavné, že najväčší vplyv na dieťa má jeho rodina a škola.</w:t>
      </w:r>
      <w:r w:rsidRPr="003141D8">
        <w:t xml:space="preserve"> </w:t>
      </w:r>
      <w:r w:rsidRPr="003141D8">
        <w:rPr>
          <w:color w:val="auto"/>
        </w:rPr>
        <w:t xml:space="preserve">Škola je miestom osvojovania si základných pojmov v oblasti ľudských práv, miestom formovania hodnôt a postojov mladých ľudí, ktoré sú predpokladom dodržiavania a uplatňovania ľudských práv v celej spoločnosti. Zaujímalo nás, akým spôsobom získavajú žiaci základných a stredných škôl prostredníctvom učiteľov a školy vzdelanie v oblasti ľudských práv. </w:t>
      </w:r>
    </w:p>
    <w:p w:rsidR="00803CCF" w:rsidRPr="00C679EA" w:rsidRDefault="00803CCF" w:rsidP="00C679EA">
      <w:pPr>
        <w:pStyle w:val="Nadpis3"/>
        <w:rPr>
          <w:szCs w:val="24"/>
        </w:rPr>
      </w:pPr>
      <w:bookmarkStart w:id="1" w:name="_Toc441149733"/>
      <w:r w:rsidRPr="00C679EA">
        <w:rPr>
          <w:szCs w:val="24"/>
        </w:rPr>
        <w:lastRenderedPageBreak/>
        <w:t>Spôsoby vzdelávania v oblasti ľudských práv v škole</w:t>
      </w:r>
      <w:bookmarkEnd w:id="1"/>
    </w:p>
    <w:p w:rsidR="00803CCF" w:rsidRPr="00C679EA" w:rsidRDefault="00803CCF" w:rsidP="00355233">
      <w:pPr>
        <w:pStyle w:val="Zkladntext3"/>
        <w:spacing w:line="240" w:lineRule="auto"/>
        <w:jc w:val="both"/>
        <w:rPr>
          <w:rFonts w:ascii="Times New Roman" w:hAnsi="Times New Roman" w:cs="Times New Roman"/>
          <w:sz w:val="24"/>
          <w:szCs w:val="24"/>
        </w:rPr>
      </w:pPr>
      <w:r w:rsidRPr="00C679EA">
        <w:rPr>
          <w:rFonts w:ascii="Times New Roman" w:hAnsi="Times New Roman" w:cs="Times New Roman"/>
          <w:sz w:val="24"/>
          <w:szCs w:val="24"/>
        </w:rPr>
        <w:t>Zo súboru 362 oslovených učiteľov venujúcich sa výu</w:t>
      </w:r>
      <w:r w:rsidR="002163E6">
        <w:rPr>
          <w:rFonts w:ascii="Times New Roman" w:hAnsi="Times New Roman" w:cs="Times New Roman"/>
          <w:sz w:val="24"/>
          <w:szCs w:val="24"/>
        </w:rPr>
        <w:t>čbe ľudských práv</w:t>
      </w:r>
      <w:r w:rsidRPr="00C679EA">
        <w:rPr>
          <w:rFonts w:ascii="Times New Roman" w:hAnsi="Times New Roman" w:cs="Times New Roman"/>
          <w:sz w:val="24"/>
          <w:szCs w:val="24"/>
        </w:rPr>
        <w:t xml:space="preserve">, 322 učiteľov (89,4 %) uviedlo, že žiaci získavajú vedomosti o ľudských právach </w:t>
      </w:r>
      <w:r w:rsidRPr="00C679EA">
        <w:rPr>
          <w:rFonts w:ascii="Times New Roman" w:hAnsi="Times New Roman" w:cs="Times New Roman"/>
          <w:b/>
          <w:sz w:val="24"/>
          <w:szCs w:val="24"/>
        </w:rPr>
        <w:t>na vyučovacích hodinách</w:t>
      </w:r>
      <w:r w:rsidRPr="00C679EA">
        <w:rPr>
          <w:rFonts w:ascii="Times New Roman" w:hAnsi="Times New Roman" w:cs="Times New Roman"/>
          <w:sz w:val="24"/>
          <w:szCs w:val="24"/>
        </w:rPr>
        <w:t xml:space="preserve">. Ďalším frekventovaným spôsobom je vzdelávanie prostredníctvom </w:t>
      </w:r>
      <w:r w:rsidRPr="00C679EA">
        <w:rPr>
          <w:rFonts w:ascii="Times New Roman" w:hAnsi="Times New Roman" w:cs="Times New Roman"/>
          <w:b/>
          <w:sz w:val="24"/>
          <w:szCs w:val="24"/>
        </w:rPr>
        <w:t>besied organizovaných školou, informáciami z</w:t>
      </w:r>
      <w:r w:rsidRPr="00C679EA">
        <w:rPr>
          <w:rFonts w:ascii="Times New Roman" w:hAnsi="Times New Roman" w:cs="Times New Roman"/>
          <w:sz w:val="24"/>
          <w:szCs w:val="24"/>
        </w:rPr>
        <w:t> </w:t>
      </w:r>
      <w:r w:rsidRPr="00C679EA">
        <w:rPr>
          <w:rFonts w:ascii="Times New Roman" w:hAnsi="Times New Roman" w:cs="Times New Roman"/>
          <w:b/>
          <w:sz w:val="24"/>
          <w:szCs w:val="24"/>
        </w:rPr>
        <w:t>násteniek</w:t>
      </w:r>
      <w:r w:rsidRPr="00C679EA">
        <w:rPr>
          <w:rFonts w:ascii="Times New Roman" w:hAnsi="Times New Roman" w:cs="Times New Roman"/>
          <w:sz w:val="24"/>
          <w:szCs w:val="24"/>
        </w:rPr>
        <w:t xml:space="preserve"> a </w:t>
      </w:r>
      <w:r w:rsidRPr="00C679EA">
        <w:rPr>
          <w:rFonts w:ascii="Times New Roman" w:hAnsi="Times New Roman" w:cs="Times New Roman"/>
          <w:b/>
          <w:sz w:val="24"/>
          <w:szCs w:val="24"/>
        </w:rPr>
        <w:t>školských novín</w:t>
      </w:r>
      <w:r w:rsidRPr="00C679EA">
        <w:rPr>
          <w:rFonts w:ascii="Times New Roman" w:hAnsi="Times New Roman" w:cs="Times New Roman"/>
          <w:sz w:val="24"/>
          <w:szCs w:val="24"/>
        </w:rPr>
        <w:t>, ktoré deklaro</w:t>
      </w:r>
      <w:r w:rsidR="002163E6">
        <w:rPr>
          <w:rFonts w:ascii="Times New Roman" w:hAnsi="Times New Roman" w:cs="Times New Roman"/>
          <w:sz w:val="24"/>
          <w:szCs w:val="24"/>
        </w:rPr>
        <w:t>vala viac ako polovica</w:t>
      </w:r>
      <w:r w:rsidR="00832B6B">
        <w:rPr>
          <w:rFonts w:ascii="Times New Roman" w:hAnsi="Times New Roman" w:cs="Times New Roman"/>
          <w:sz w:val="24"/>
          <w:szCs w:val="24"/>
        </w:rPr>
        <w:t xml:space="preserve"> respondentov. Približne tretina</w:t>
      </w:r>
      <w:r w:rsidRPr="00C679EA">
        <w:rPr>
          <w:rFonts w:ascii="Times New Roman" w:hAnsi="Times New Roman" w:cs="Times New Roman"/>
          <w:sz w:val="24"/>
          <w:szCs w:val="24"/>
        </w:rPr>
        <w:t xml:space="preserve"> učiteľov poukázala na skutočnosť, že žiaci vedomosti získavajú </w:t>
      </w:r>
      <w:r w:rsidRPr="00C679EA">
        <w:rPr>
          <w:rFonts w:ascii="Times New Roman" w:hAnsi="Times New Roman" w:cs="Times New Roman"/>
          <w:b/>
          <w:sz w:val="24"/>
          <w:szCs w:val="24"/>
        </w:rPr>
        <w:t>na prednáškach s odborníkmi</w:t>
      </w:r>
      <w:r w:rsidRPr="00C679EA">
        <w:rPr>
          <w:rFonts w:ascii="Times New Roman" w:hAnsi="Times New Roman" w:cs="Times New Roman"/>
          <w:sz w:val="24"/>
          <w:szCs w:val="24"/>
        </w:rPr>
        <w:t xml:space="preserve"> (26,9 %). </w:t>
      </w:r>
      <w:r w:rsidRPr="00C679EA">
        <w:rPr>
          <w:rFonts w:ascii="Times New Roman" w:hAnsi="Times New Roman" w:cs="Times New Roman"/>
          <w:b/>
          <w:sz w:val="24"/>
          <w:szCs w:val="24"/>
        </w:rPr>
        <w:t>Súťaže</w:t>
      </w:r>
      <w:r w:rsidRPr="00C679EA">
        <w:rPr>
          <w:rFonts w:ascii="Times New Roman" w:hAnsi="Times New Roman" w:cs="Times New Roman"/>
          <w:sz w:val="24"/>
          <w:szCs w:val="24"/>
        </w:rPr>
        <w:t xml:space="preserve"> ako prostriedok osvojovania si poznatkov o ľudských právach uviedlo 21,7 % učiteľov a iný spôsob 15 učiteľov, t. j.4,2 %. </w:t>
      </w:r>
      <w:r w:rsidRPr="00C679EA">
        <w:rPr>
          <w:rFonts w:ascii="Times New Roman" w:hAnsi="Times New Roman" w:cs="Times New Roman"/>
          <w:b/>
          <w:color w:val="FF0000"/>
          <w:sz w:val="24"/>
          <w:szCs w:val="24"/>
        </w:rPr>
        <w:tab/>
      </w:r>
    </w:p>
    <w:p w:rsidR="00803CCF" w:rsidRPr="00C679EA" w:rsidRDefault="00803CCF" w:rsidP="00355233">
      <w:pPr>
        <w:spacing w:after="120" w:line="240" w:lineRule="auto"/>
        <w:rPr>
          <w:rFonts w:ascii="Times New Roman" w:hAnsi="Times New Roman" w:cs="Times New Roman"/>
          <w:b/>
          <w:sz w:val="20"/>
          <w:szCs w:val="20"/>
        </w:rPr>
      </w:pPr>
      <w:r w:rsidRPr="00C679EA">
        <w:rPr>
          <w:rFonts w:ascii="Times New Roman" w:hAnsi="Times New Roman" w:cs="Times New Roman"/>
          <w:b/>
          <w:sz w:val="20"/>
          <w:szCs w:val="20"/>
        </w:rPr>
        <w:t xml:space="preserve">Graf 1 Spôsoby vzdelávania v oblasti ľudských práv </w:t>
      </w:r>
    </w:p>
    <w:p w:rsidR="00803CCF" w:rsidRPr="002C6F0F" w:rsidRDefault="00803CCF" w:rsidP="00C679EA">
      <w:pPr>
        <w:rPr>
          <w:rFonts w:ascii="Times New Roman" w:hAnsi="Times New Roman" w:cs="Times New Roman"/>
          <w:b/>
          <w:sz w:val="20"/>
          <w:szCs w:val="20"/>
        </w:rPr>
      </w:pPr>
      <w:r w:rsidRPr="00C679EA">
        <w:rPr>
          <w:rFonts w:ascii="Times New Roman" w:hAnsi="Times New Roman" w:cs="Times New Roman"/>
          <w:b/>
          <w:noProof/>
          <w:sz w:val="24"/>
          <w:szCs w:val="24"/>
          <w:lang w:eastAsia="sk-SK"/>
        </w:rPr>
        <w:drawing>
          <wp:inline distT="0" distB="0" distL="0" distR="0" wp14:anchorId="15C43BD4" wp14:editId="243802B1">
            <wp:extent cx="5737860" cy="1470660"/>
            <wp:effectExtent l="0" t="0" r="0" b="0"/>
            <wp:docPr id="1" name="Graf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C6F0F">
        <w:rPr>
          <w:rFonts w:ascii="Times New Roman" w:hAnsi="Times New Roman" w:cs="Times New Roman"/>
          <w:sz w:val="20"/>
          <w:szCs w:val="20"/>
        </w:rPr>
        <w:t>Poznámka: Súčet presahuje 100 % pre možnosti voľby viacerých odpovedí.</w:t>
      </w:r>
    </w:p>
    <w:p w:rsidR="00803CCF" w:rsidRDefault="00803CCF" w:rsidP="00C679EA">
      <w:pPr>
        <w:pStyle w:val="Zkladntext3"/>
        <w:spacing w:after="0" w:line="240" w:lineRule="auto"/>
        <w:jc w:val="both"/>
        <w:rPr>
          <w:rFonts w:ascii="Times New Roman" w:hAnsi="Times New Roman" w:cs="Times New Roman"/>
          <w:sz w:val="24"/>
          <w:szCs w:val="24"/>
        </w:rPr>
      </w:pPr>
      <w:r w:rsidRPr="00C679EA">
        <w:rPr>
          <w:rFonts w:ascii="Times New Roman" w:hAnsi="Times New Roman" w:cs="Times New Roman"/>
          <w:sz w:val="24"/>
          <w:szCs w:val="24"/>
        </w:rPr>
        <w:t xml:space="preserve">Rozdiely podľa typu školy (základná škola, </w:t>
      </w:r>
      <w:r w:rsidR="002163E6">
        <w:rPr>
          <w:rFonts w:ascii="Times New Roman" w:hAnsi="Times New Roman" w:cs="Times New Roman"/>
          <w:sz w:val="24"/>
          <w:szCs w:val="24"/>
        </w:rPr>
        <w:t>stredná škola) dokumentujú</w:t>
      </w:r>
      <w:r w:rsidRPr="00C679EA">
        <w:rPr>
          <w:rFonts w:ascii="Times New Roman" w:hAnsi="Times New Roman" w:cs="Times New Roman"/>
          <w:sz w:val="24"/>
          <w:szCs w:val="24"/>
        </w:rPr>
        <w:t>, že v oboch typoch škôl prevláda vyučovanie ako forma získavania vedomostí z problematiky ľudských práv, aj keď skutočnosť ešte výraznejšie prezentovali učitelia základných škôl (ZŠ 91,7 %, SŠ 87,9 %). Výsledky výskumu tak potvrdili náš predpoklad, že starší žiaci – stredoškoláci získavajú poznatky o ľudských práv častejšie aj aktívnymi metódami výučby</w:t>
      </w:r>
      <w:r w:rsidR="002163E6">
        <w:rPr>
          <w:rFonts w:ascii="Times New Roman" w:hAnsi="Times New Roman" w:cs="Times New Roman"/>
          <w:sz w:val="24"/>
          <w:szCs w:val="24"/>
        </w:rPr>
        <w:t>,</w:t>
      </w:r>
      <w:r w:rsidRPr="00C679EA">
        <w:rPr>
          <w:rFonts w:ascii="Times New Roman" w:hAnsi="Times New Roman" w:cs="Times New Roman"/>
          <w:sz w:val="24"/>
          <w:szCs w:val="24"/>
        </w:rPr>
        <w:t xml:space="preserve"> ako sú prednášky, besedy a súťaže z predmetnej problematiky</w:t>
      </w:r>
      <w:r w:rsidR="002163E6">
        <w:rPr>
          <w:rFonts w:ascii="Times New Roman" w:hAnsi="Times New Roman" w:cs="Times New Roman"/>
          <w:sz w:val="24"/>
          <w:szCs w:val="24"/>
        </w:rPr>
        <w:t>,</w:t>
      </w:r>
      <w:r w:rsidRPr="00C679EA">
        <w:rPr>
          <w:rFonts w:ascii="Times New Roman" w:hAnsi="Times New Roman" w:cs="Times New Roman"/>
          <w:sz w:val="24"/>
          <w:szCs w:val="24"/>
        </w:rPr>
        <w:t xml:space="preserve"> len doplnené vyučovacím procesom, ako žiaci nižšieho stupňa vzdelania. A tak sú podľa názorov respondentov stredoškoláci výrazne častejšie vzdelávaní v oblasti ľudských práv</w:t>
      </w:r>
      <w:r w:rsidR="002C6F0F">
        <w:rPr>
          <w:rFonts w:ascii="Times New Roman" w:hAnsi="Times New Roman" w:cs="Times New Roman"/>
          <w:sz w:val="24"/>
          <w:szCs w:val="24"/>
        </w:rPr>
        <w:t xml:space="preserve"> prostredníctvom súťaží</w:t>
      </w:r>
      <w:r w:rsidRPr="00C679EA">
        <w:rPr>
          <w:rFonts w:ascii="Times New Roman" w:hAnsi="Times New Roman" w:cs="Times New Roman"/>
          <w:sz w:val="24"/>
          <w:szCs w:val="24"/>
        </w:rPr>
        <w:t xml:space="preserve">, </w:t>
      </w:r>
      <w:r w:rsidR="002C6F0F">
        <w:rPr>
          <w:rFonts w:ascii="Times New Roman" w:hAnsi="Times New Roman" w:cs="Times New Roman"/>
          <w:sz w:val="24"/>
          <w:szCs w:val="24"/>
        </w:rPr>
        <w:t>prednášok odborníkov</w:t>
      </w:r>
      <w:r w:rsidRPr="00C679EA">
        <w:rPr>
          <w:rFonts w:ascii="Times New Roman" w:hAnsi="Times New Roman" w:cs="Times New Roman"/>
          <w:sz w:val="24"/>
          <w:szCs w:val="24"/>
        </w:rPr>
        <w:t xml:space="preserve"> a besi</w:t>
      </w:r>
      <w:r w:rsidR="002C6F0F">
        <w:rPr>
          <w:rFonts w:ascii="Times New Roman" w:hAnsi="Times New Roman" w:cs="Times New Roman"/>
          <w:sz w:val="24"/>
          <w:szCs w:val="24"/>
        </w:rPr>
        <w:t xml:space="preserve">ed na </w:t>
      </w:r>
      <w:proofErr w:type="spellStart"/>
      <w:r w:rsidR="002C6F0F">
        <w:rPr>
          <w:rFonts w:ascii="Times New Roman" w:hAnsi="Times New Roman" w:cs="Times New Roman"/>
          <w:sz w:val="24"/>
          <w:szCs w:val="24"/>
        </w:rPr>
        <w:t>ľudskoprávne</w:t>
      </w:r>
      <w:proofErr w:type="spellEnd"/>
      <w:r w:rsidR="002C6F0F">
        <w:rPr>
          <w:rFonts w:ascii="Times New Roman" w:hAnsi="Times New Roman" w:cs="Times New Roman"/>
          <w:sz w:val="24"/>
          <w:szCs w:val="24"/>
        </w:rPr>
        <w:t xml:space="preserve"> témy</w:t>
      </w:r>
      <w:r w:rsidRPr="00C679EA">
        <w:rPr>
          <w:rFonts w:ascii="Times New Roman" w:hAnsi="Times New Roman" w:cs="Times New Roman"/>
          <w:sz w:val="24"/>
          <w:szCs w:val="24"/>
        </w:rPr>
        <w:t>. Približne 60 % oslovených zo základnej aj zo strednej školy ako zdroj informácií uviedlo nást</w:t>
      </w:r>
      <w:r w:rsidR="002C6F0F">
        <w:rPr>
          <w:rFonts w:ascii="Times New Roman" w:hAnsi="Times New Roman" w:cs="Times New Roman"/>
          <w:sz w:val="24"/>
          <w:szCs w:val="24"/>
        </w:rPr>
        <w:t xml:space="preserve">enky a školské časopisy </w:t>
      </w:r>
      <w:r w:rsidRPr="00C679EA">
        <w:rPr>
          <w:rFonts w:ascii="Times New Roman" w:hAnsi="Times New Roman" w:cs="Times New Roman"/>
          <w:sz w:val="24"/>
          <w:szCs w:val="24"/>
        </w:rPr>
        <w:t xml:space="preserve">. </w:t>
      </w:r>
    </w:p>
    <w:p w:rsidR="00C679EA" w:rsidRPr="00C679EA" w:rsidRDefault="00C679EA" w:rsidP="00C679EA">
      <w:pPr>
        <w:pStyle w:val="Zkladntext3"/>
        <w:spacing w:after="0" w:line="240" w:lineRule="auto"/>
        <w:jc w:val="both"/>
        <w:rPr>
          <w:rFonts w:ascii="Times New Roman" w:hAnsi="Times New Roman" w:cs="Times New Roman"/>
          <w:sz w:val="24"/>
          <w:szCs w:val="24"/>
        </w:rPr>
      </w:pPr>
    </w:p>
    <w:p w:rsidR="00803CCF" w:rsidRPr="00C679EA" w:rsidRDefault="00803CCF" w:rsidP="00C679EA">
      <w:pPr>
        <w:spacing w:after="0" w:line="240" w:lineRule="auto"/>
        <w:jc w:val="both"/>
        <w:rPr>
          <w:rFonts w:ascii="Times New Roman" w:hAnsi="Times New Roman" w:cs="Times New Roman"/>
          <w:sz w:val="24"/>
          <w:szCs w:val="24"/>
        </w:rPr>
      </w:pPr>
      <w:r w:rsidRPr="00C679EA">
        <w:rPr>
          <w:rFonts w:ascii="Times New Roman" w:hAnsi="Times New Roman" w:cs="Times New Roman"/>
          <w:b/>
          <w:sz w:val="24"/>
          <w:szCs w:val="24"/>
        </w:rPr>
        <w:t>Porovnaním výsledkov za roky 2005, 2008, 2011, 2013 a 2015</w:t>
      </w:r>
      <w:r w:rsidRPr="00C679EA">
        <w:rPr>
          <w:rFonts w:ascii="Times New Roman" w:hAnsi="Times New Roman" w:cs="Times New Roman"/>
          <w:sz w:val="24"/>
          <w:szCs w:val="24"/>
        </w:rPr>
        <w:t xml:space="preserve"> sa zistilo, že výučba v oblasti ľudských práv za celé sledované obdobie zostáva najvýraznejším zdrojom informácií o ľudských právach v školách. Hoci sú žiaci základných a stredných škôl oboznamovaní s problematikou ľudských práv predovšetkým vo vyučovacom procese, do popredia sa stále viac dostávajú aj aktívne formy výučby – nástenky a školské časopisy, besedy na </w:t>
      </w:r>
      <w:proofErr w:type="spellStart"/>
      <w:r w:rsidRPr="00C679EA">
        <w:rPr>
          <w:rFonts w:ascii="Times New Roman" w:hAnsi="Times New Roman" w:cs="Times New Roman"/>
          <w:sz w:val="24"/>
          <w:szCs w:val="24"/>
        </w:rPr>
        <w:t>ľudskoprávne</w:t>
      </w:r>
      <w:proofErr w:type="spellEnd"/>
      <w:r w:rsidRPr="00C679EA">
        <w:rPr>
          <w:rFonts w:ascii="Times New Roman" w:hAnsi="Times New Roman" w:cs="Times New Roman"/>
          <w:sz w:val="24"/>
          <w:szCs w:val="24"/>
        </w:rPr>
        <w:t xml:space="preserve"> témy, ale aj zapojenie </w:t>
      </w:r>
      <w:r w:rsidR="002163E6">
        <w:rPr>
          <w:rFonts w:ascii="Times New Roman" w:hAnsi="Times New Roman" w:cs="Times New Roman"/>
          <w:sz w:val="24"/>
          <w:szCs w:val="24"/>
        </w:rPr>
        <w:t>žiakov do rôznych súťaží z</w:t>
      </w:r>
      <w:r w:rsidRPr="00C679EA">
        <w:rPr>
          <w:rFonts w:ascii="Times New Roman" w:hAnsi="Times New Roman" w:cs="Times New Roman"/>
          <w:sz w:val="24"/>
          <w:szCs w:val="24"/>
        </w:rPr>
        <w:t xml:space="preserve"> problematiky. A práve v uvedených formách zaznamenávame op</w:t>
      </w:r>
      <w:r w:rsidR="004F7CBB">
        <w:rPr>
          <w:rFonts w:ascii="Times New Roman" w:hAnsi="Times New Roman" w:cs="Times New Roman"/>
          <w:sz w:val="24"/>
          <w:szCs w:val="24"/>
        </w:rPr>
        <w:t>roti predchádzajúcim zisteniam</w:t>
      </w:r>
      <w:r w:rsidRPr="00C679EA">
        <w:rPr>
          <w:rFonts w:ascii="Times New Roman" w:hAnsi="Times New Roman" w:cs="Times New Roman"/>
          <w:sz w:val="24"/>
          <w:szCs w:val="24"/>
        </w:rPr>
        <w:t xml:space="preserve"> výraznejší vzostup. </w:t>
      </w:r>
    </w:p>
    <w:p w:rsidR="00803CCF" w:rsidRPr="00C679EA" w:rsidRDefault="004F7CBB" w:rsidP="0035523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poslednom roku </w:t>
      </w:r>
      <w:r w:rsidR="00803CCF" w:rsidRPr="00C679EA">
        <w:rPr>
          <w:rFonts w:ascii="Times New Roman" w:hAnsi="Times New Roman" w:cs="Times New Roman"/>
          <w:sz w:val="24"/>
          <w:szCs w:val="24"/>
        </w:rPr>
        <w:t>výskumu (rok 2015) oslovení učitelia základných a stredných škôl so zameraním na výučbu ľudských práv v najvyššej miere za celé sledované obdobie deklarovali vedomosti získané ako cez nástenky a školské časopisy, tak aj prostredníctvom besied, prednášok a súťaží. Je teda zrejmé, že učitelia vnímajú potrebu presadzovania aktívneho prístupu žiakov k vzdelaniu a v tomto zmysle pristupujú aj vo výučbe ľudských práv k aktívnejším formám vzdelávania. Z dlhodobého hľadiska tak vo výučbe ľudských práv zaznamenávame pozitívny trend v presadzovaní aktívnych, názorných foriem vzdelávania žiakov základných a stredných škôl v o</w:t>
      </w:r>
      <w:r w:rsidR="00C679EA">
        <w:rPr>
          <w:rFonts w:ascii="Times New Roman" w:hAnsi="Times New Roman" w:cs="Times New Roman"/>
          <w:sz w:val="24"/>
          <w:szCs w:val="24"/>
        </w:rPr>
        <w:t>blasti ľudských práv. Ú</w:t>
      </w:r>
      <w:r w:rsidR="00803CCF" w:rsidRPr="00C679EA">
        <w:rPr>
          <w:rFonts w:ascii="Times New Roman" w:hAnsi="Times New Roman" w:cs="Times New Roman"/>
          <w:sz w:val="24"/>
          <w:szCs w:val="24"/>
        </w:rPr>
        <w:t xml:space="preserve">daje popisuje </w:t>
      </w:r>
      <w:r w:rsidR="00803CCF" w:rsidRPr="00832B6B">
        <w:rPr>
          <w:rFonts w:ascii="Times New Roman" w:hAnsi="Times New Roman" w:cs="Times New Roman"/>
          <w:sz w:val="24"/>
          <w:szCs w:val="24"/>
        </w:rPr>
        <w:t>tabuľka</w:t>
      </w:r>
      <w:r w:rsidR="00832B6B" w:rsidRPr="00832B6B">
        <w:rPr>
          <w:rFonts w:ascii="Times New Roman" w:hAnsi="Times New Roman" w:cs="Times New Roman"/>
          <w:sz w:val="24"/>
          <w:szCs w:val="24"/>
        </w:rPr>
        <w:t> 1</w:t>
      </w:r>
      <w:r w:rsidR="00803CCF" w:rsidRPr="00832B6B">
        <w:rPr>
          <w:rFonts w:ascii="Times New Roman" w:hAnsi="Times New Roman" w:cs="Times New Roman"/>
          <w:sz w:val="24"/>
          <w:szCs w:val="24"/>
        </w:rPr>
        <w:t>.</w:t>
      </w:r>
    </w:p>
    <w:p w:rsidR="002C6F0F" w:rsidRDefault="002C6F0F" w:rsidP="00355233">
      <w:pPr>
        <w:pStyle w:val="Popis"/>
        <w:jc w:val="both"/>
      </w:pPr>
    </w:p>
    <w:p w:rsidR="002C6F0F" w:rsidRDefault="002C6F0F" w:rsidP="00355233">
      <w:pPr>
        <w:pStyle w:val="Popis"/>
        <w:jc w:val="both"/>
      </w:pPr>
    </w:p>
    <w:p w:rsidR="002C6F0F" w:rsidRDefault="002C6F0F" w:rsidP="00355233">
      <w:pPr>
        <w:pStyle w:val="Popis"/>
        <w:jc w:val="both"/>
      </w:pPr>
    </w:p>
    <w:p w:rsidR="002C6F0F" w:rsidRDefault="002C6F0F" w:rsidP="00355233">
      <w:pPr>
        <w:pStyle w:val="Popis"/>
        <w:jc w:val="both"/>
      </w:pPr>
    </w:p>
    <w:p w:rsidR="00803CCF" w:rsidRPr="00C679EA" w:rsidRDefault="00803CCF" w:rsidP="00355233">
      <w:pPr>
        <w:pStyle w:val="Popis"/>
        <w:jc w:val="both"/>
      </w:pPr>
      <w:r w:rsidRPr="00C679EA">
        <w:lastRenderedPageBreak/>
        <w:t xml:space="preserve">Tabuľka </w:t>
      </w:r>
      <w:r w:rsidR="00C679EA">
        <w:t>1</w:t>
      </w:r>
      <w:r w:rsidRPr="00C679EA">
        <w:t xml:space="preserve"> Formy výučby ľudských práv v škole v – porovnanie údajov (v %)</w:t>
      </w:r>
    </w:p>
    <w:tbl>
      <w:tblPr>
        <w:tblW w:w="4925" w:type="pct"/>
        <w:tblInd w:w="70" w:type="dxa"/>
        <w:tblCellMar>
          <w:left w:w="70" w:type="dxa"/>
          <w:right w:w="70" w:type="dxa"/>
        </w:tblCellMar>
        <w:tblLook w:val="0000" w:firstRow="0" w:lastRow="0" w:firstColumn="0" w:lastColumn="0" w:noHBand="0" w:noVBand="0"/>
      </w:tblPr>
      <w:tblGrid>
        <w:gridCol w:w="3732"/>
        <w:gridCol w:w="1084"/>
        <w:gridCol w:w="1083"/>
        <w:gridCol w:w="1082"/>
        <w:gridCol w:w="1082"/>
        <w:gridCol w:w="1011"/>
      </w:tblGrid>
      <w:tr w:rsidR="00803CCF" w:rsidRPr="00C679EA" w:rsidTr="00744108">
        <w:trPr>
          <w:trHeight w:val="255"/>
        </w:trPr>
        <w:tc>
          <w:tcPr>
            <w:tcW w:w="2056" w:type="pct"/>
            <w:tcBorders>
              <w:top w:val="single" w:sz="4" w:space="0" w:color="auto"/>
              <w:left w:val="single" w:sz="4" w:space="0" w:color="auto"/>
              <w:bottom w:val="single" w:sz="4" w:space="0" w:color="auto"/>
              <w:right w:val="single" w:sz="4" w:space="0" w:color="auto"/>
            </w:tcBorders>
            <w:shd w:val="clear" w:color="auto" w:fill="B8CCE4"/>
            <w:noWrap/>
            <w:vAlign w:val="bottom"/>
          </w:tcPr>
          <w:p w:rsidR="00803CCF" w:rsidRPr="00355233" w:rsidRDefault="00803CCF" w:rsidP="00355233">
            <w:pPr>
              <w:spacing w:after="0" w:line="240" w:lineRule="auto"/>
              <w:rPr>
                <w:rFonts w:ascii="Times New Roman" w:hAnsi="Times New Roman" w:cs="Times New Roman"/>
                <w:b/>
                <w:sz w:val="20"/>
                <w:szCs w:val="20"/>
                <w:lang w:eastAsia="sk-SK"/>
              </w:rPr>
            </w:pPr>
          </w:p>
        </w:tc>
        <w:tc>
          <w:tcPr>
            <w:tcW w:w="597" w:type="pct"/>
            <w:tcBorders>
              <w:top w:val="single" w:sz="4" w:space="0" w:color="auto"/>
              <w:left w:val="nil"/>
              <w:bottom w:val="single" w:sz="4" w:space="0" w:color="auto"/>
              <w:right w:val="single" w:sz="4" w:space="0" w:color="auto"/>
            </w:tcBorders>
            <w:shd w:val="clear" w:color="auto" w:fill="B8CCE4"/>
            <w:vAlign w:val="bottom"/>
          </w:tcPr>
          <w:p w:rsidR="00803CCF" w:rsidRPr="00355233" w:rsidRDefault="00803CCF" w:rsidP="00355233">
            <w:pPr>
              <w:spacing w:after="0" w:line="240" w:lineRule="auto"/>
              <w:jc w:val="center"/>
              <w:rPr>
                <w:rFonts w:ascii="Times New Roman" w:hAnsi="Times New Roman" w:cs="Times New Roman"/>
                <w:b/>
                <w:sz w:val="20"/>
                <w:szCs w:val="20"/>
                <w:lang w:eastAsia="sk-SK"/>
              </w:rPr>
            </w:pPr>
            <w:r w:rsidRPr="00355233">
              <w:rPr>
                <w:rFonts w:ascii="Times New Roman" w:hAnsi="Times New Roman" w:cs="Times New Roman"/>
                <w:b/>
                <w:sz w:val="20"/>
                <w:szCs w:val="20"/>
                <w:lang w:eastAsia="sk-SK"/>
              </w:rPr>
              <w:t>2005</w:t>
            </w:r>
          </w:p>
        </w:tc>
        <w:tc>
          <w:tcPr>
            <w:tcW w:w="597" w:type="pct"/>
            <w:tcBorders>
              <w:top w:val="single" w:sz="4" w:space="0" w:color="auto"/>
              <w:left w:val="single" w:sz="4" w:space="0" w:color="auto"/>
              <w:bottom w:val="single" w:sz="4" w:space="0" w:color="auto"/>
              <w:right w:val="single" w:sz="4" w:space="0" w:color="auto"/>
            </w:tcBorders>
            <w:shd w:val="clear" w:color="auto" w:fill="B8CCE4"/>
            <w:vAlign w:val="bottom"/>
          </w:tcPr>
          <w:p w:rsidR="00803CCF" w:rsidRPr="00355233" w:rsidRDefault="00803CCF" w:rsidP="00355233">
            <w:pPr>
              <w:spacing w:after="0" w:line="240" w:lineRule="auto"/>
              <w:jc w:val="center"/>
              <w:rPr>
                <w:rFonts w:ascii="Times New Roman" w:hAnsi="Times New Roman" w:cs="Times New Roman"/>
                <w:b/>
                <w:sz w:val="20"/>
                <w:szCs w:val="20"/>
                <w:lang w:eastAsia="sk-SK"/>
              </w:rPr>
            </w:pPr>
            <w:r w:rsidRPr="00355233">
              <w:rPr>
                <w:rFonts w:ascii="Times New Roman" w:hAnsi="Times New Roman" w:cs="Times New Roman"/>
                <w:b/>
                <w:sz w:val="20"/>
                <w:szCs w:val="20"/>
                <w:lang w:eastAsia="sk-SK"/>
              </w:rPr>
              <w:t>2008</w:t>
            </w:r>
          </w:p>
        </w:tc>
        <w:tc>
          <w:tcPr>
            <w:tcW w:w="596" w:type="pct"/>
            <w:tcBorders>
              <w:top w:val="single" w:sz="4" w:space="0" w:color="auto"/>
              <w:left w:val="single" w:sz="4" w:space="0" w:color="auto"/>
              <w:bottom w:val="single" w:sz="4" w:space="0" w:color="auto"/>
              <w:right w:val="single" w:sz="4" w:space="0" w:color="auto"/>
            </w:tcBorders>
            <w:shd w:val="clear" w:color="auto" w:fill="B8CCE4"/>
            <w:vAlign w:val="bottom"/>
          </w:tcPr>
          <w:p w:rsidR="00803CCF" w:rsidRPr="00355233" w:rsidRDefault="00803CCF" w:rsidP="00355233">
            <w:pPr>
              <w:spacing w:after="0" w:line="240" w:lineRule="auto"/>
              <w:jc w:val="center"/>
              <w:rPr>
                <w:rFonts w:ascii="Times New Roman" w:hAnsi="Times New Roman" w:cs="Times New Roman"/>
                <w:b/>
                <w:sz w:val="20"/>
                <w:szCs w:val="20"/>
                <w:lang w:eastAsia="sk-SK"/>
              </w:rPr>
            </w:pPr>
            <w:r w:rsidRPr="00355233">
              <w:rPr>
                <w:rFonts w:ascii="Times New Roman" w:hAnsi="Times New Roman" w:cs="Times New Roman"/>
                <w:b/>
                <w:sz w:val="20"/>
                <w:szCs w:val="20"/>
                <w:lang w:eastAsia="sk-SK"/>
              </w:rPr>
              <w:t>2011</w:t>
            </w:r>
          </w:p>
        </w:tc>
        <w:tc>
          <w:tcPr>
            <w:tcW w:w="596" w:type="pct"/>
            <w:tcBorders>
              <w:top w:val="single" w:sz="4" w:space="0" w:color="auto"/>
              <w:left w:val="single" w:sz="4" w:space="0" w:color="auto"/>
              <w:bottom w:val="single" w:sz="4" w:space="0" w:color="auto"/>
              <w:right w:val="single" w:sz="4" w:space="0" w:color="auto"/>
            </w:tcBorders>
            <w:shd w:val="clear" w:color="auto" w:fill="B8CCE4"/>
            <w:vAlign w:val="bottom"/>
          </w:tcPr>
          <w:p w:rsidR="00803CCF" w:rsidRPr="00355233" w:rsidRDefault="00803CCF" w:rsidP="00355233">
            <w:pPr>
              <w:spacing w:after="0" w:line="240" w:lineRule="auto"/>
              <w:jc w:val="center"/>
              <w:rPr>
                <w:rFonts w:ascii="Times New Roman" w:hAnsi="Times New Roman" w:cs="Times New Roman"/>
                <w:b/>
                <w:sz w:val="20"/>
                <w:szCs w:val="20"/>
                <w:lang w:eastAsia="sk-SK"/>
              </w:rPr>
            </w:pPr>
            <w:r w:rsidRPr="00355233">
              <w:rPr>
                <w:rFonts w:ascii="Times New Roman" w:hAnsi="Times New Roman" w:cs="Times New Roman"/>
                <w:b/>
                <w:sz w:val="20"/>
                <w:szCs w:val="20"/>
                <w:lang w:eastAsia="sk-SK"/>
              </w:rPr>
              <w:t>2013</w:t>
            </w:r>
          </w:p>
        </w:tc>
        <w:tc>
          <w:tcPr>
            <w:tcW w:w="557" w:type="pct"/>
            <w:tcBorders>
              <w:top w:val="single" w:sz="4" w:space="0" w:color="auto"/>
              <w:left w:val="single" w:sz="4" w:space="0" w:color="auto"/>
              <w:bottom w:val="single" w:sz="4" w:space="0" w:color="auto"/>
              <w:right w:val="single" w:sz="4" w:space="0" w:color="auto"/>
            </w:tcBorders>
            <w:shd w:val="clear" w:color="auto" w:fill="B8CCE4"/>
            <w:vAlign w:val="bottom"/>
          </w:tcPr>
          <w:p w:rsidR="00803CCF" w:rsidRPr="00355233" w:rsidRDefault="00803CCF" w:rsidP="00355233">
            <w:pPr>
              <w:spacing w:after="0" w:line="240" w:lineRule="auto"/>
              <w:jc w:val="center"/>
              <w:rPr>
                <w:rFonts w:ascii="Times New Roman" w:hAnsi="Times New Roman" w:cs="Times New Roman"/>
                <w:b/>
                <w:sz w:val="20"/>
                <w:szCs w:val="20"/>
                <w:lang w:eastAsia="sk-SK"/>
              </w:rPr>
            </w:pPr>
            <w:r w:rsidRPr="00355233">
              <w:rPr>
                <w:rFonts w:ascii="Times New Roman" w:hAnsi="Times New Roman" w:cs="Times New Roman"/>
                <w:b/>
                <w:sz w:val="20"/>
                <w:szCs w:val="20"/>
                <w:lang w:eastAsia="sk-SK"/>
              </w:rPr>
              <w:t>2015</w:t>
            </w:r>
          </w:p>
        </w:tc>
      </w:tr>
      <w:tr w:rsidR="00803CCF" w:rsidRPr="00C679EA" w:rsidTr="00744108">
        <w:trPr>
          <w:trHeight w:val="255"/>
        </w:trPr>
        <w:tc>
          <w:tcPr>
            <w:tcW w:w="205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03CCF" w:rsidRPr="00355233" w:rsidRDefault="00803CCF" w:rsidP="00355233">
            <w:pPr>
              <w:spacing w:after="0" w:line="240" w:lineRule="auto"/>
              <w:rPr>
                <w:rFonts w:ascii="Times New Roman" w:hAnsi="Times New Roman" w:cs="Times New Roman"/>
                <w:sz w:val="20"/>
                <w:szCs w:val="20"/>
                <w:lang w:eastAsia="sk-SK"/>
              </w:rPr>
            </w:pPr>
            <w:r w:rsidRPr="00355233">
              <w:rPr>
                <w:rFonts w:ascii="Times New Roman" w:hAnsi="Times New Roman" w:cs="Times New Roman"/>
                <w:sz w:val="20"/>
                <w:szCs w:val="20"/>
                <w:lang w:eastAsia="sk-SK"/>
              </w:rPr>
              <w:t>vyučovanie</w:t>
            </w:r>
          </w:p>
        </w:tc>
        <w:tc>
          <w:tcPr>
            <w:tcW w:w="597" w:type="pct"/>
            <w:tcBorders>
              <w:top w:val="single" w:sz="4" w:space="0" w:color="auto"/>
              <w:left w:val="nil"/>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98,3</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81,0</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86,1</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91,7</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89,4</w:t>
            </w:r>
          </w:p>
        </w:tc>
      </w:tr>
      <w:tr w:rsidR="00803CCF" w:rsidRPr="00C679EA" w:rsidTr="00744108">
        <w:trPr>
          <w:trHeight w:val="255"/>
        </w:trPr>
        <w:tc>
          <w:tcPr>
            <w:tcW w:w="205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03CCF" w:rsidRPr="00355233" w:rsidRDefault="00803CCF" w:rsidP="00355233">
            <w:pPr>
              <w:spacing w:after="0" w:line="240" w:lineRule="auto"/>
              <w:rPr>
                <w:rFonts w:ascii="Times New Roman" w:hAnsi="Times New Roman" w:cs="Times New Roman"/>
                <w:sz w:val="20"/>
                <w:szCs w:val="20"/>
                <w:lang w:eastAsia="sk-SK"/>
              </w:rPr>
            </w:pPr>
            <w:r w:rsidRPr="00355233">
              <w:rPr>
                <w:rFonts w:ascii="Times New Roman" w:hAnsi="Times New Roman" w:cs="Times New Roman"/>
                <w:sz w:val="20"/>
                <w:szCs w:val="20"/>
                <w:lang w:eastAsia="sk-SK"/>
              </w:rPr>
              <w:t>nástenky, školské noviny</w:t>
            </w:r>
          </w:p>
        </w:tc>
        <w:tc>
          <w:tcPr>
            <w:tcW w:w="597" w:type="pct"/>
            <w:tcBorders>
              <w:top w:val="single" w:sz="4" w:space="0" w:color="auto"/>
              <w:left w:val="nil"/>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49,6</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57,9</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44,5</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56,9</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58,6</w:t>
            </w:r>
          </w:p>
        </w:tc>
      </w:tr>
      <w:tr w:rsidR="00803CCF" w:rsidRPr="00C679EA" w:rsidTr="00744108">
        <w:trPr>
          <w:trHeight w:val="255"/>
        </w:trPr>
        <w:tc>
          <w:tcPr>
            <w:tcW w:w="205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03CCF" w:rsidRPr="00355233" w:rsidRDefault="00803CCF" w:rsidP="00355233">
            <w:pPr>
              <w:spacing w:after="0" w:line="240" w:lineRule="auto"/>
              <w:rPr>
                <w:rFonts w:ascii="Times New Roman" w:hAnsi="Times New Roman" w:cs="Times New Roman"/>
                <w:sz w:val="20"/>
                <w:szCs w:val="20"/>
                <w:lang w:eastAsia="sk-SK"/>
              </w:rPr>
            </w:pPr>
            <w:r w:rsidRPr="00355233">
              <w:rPr>
                <w:rFonts w:ascii="Times New Roman" w:hAnsi="Times New Roman" w:cs="Times New Roman"/>
                <w:sz w:val="20"/>
                <w:szCs w:val="20"/>
                <w:lang w:eastAsia="sk-SK"/>
              </w:rPr>
              <w:t>besedy</w:t>
            </w:r>
          </w:p>
        </w:tc>
        <w:tc>
          <w:tcPr>
            <w:tcW w:w="597" w:type="pct"/>
            <w:tcBorders>
              <w:top w:val="single" w:sz="4" w:space="0" w:color="auto"/>
              <w:left w:val="nil"/>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33,1</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49,9</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45,4</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47,2</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56,9</w:t>
            </w:r>
          </w:p>
        </w:tc>
      </w:tr>
      <w:tr w:rsidR="00803CCF" w:rsidRPr="00C679EA" w:rsidTr="00744108">
        <w:trPr>
          <w:trHeight w:val="255"/>
        </w:trPr>
        <w:tc>
          <w:tcPr>
            <w:tcW w:w="205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03CCF" w:rsidRPr="00355233" w:rsidRDefault="00803CCF" w:rsidP="00355233">
            <w:pPr>
              <w:spacing w:after="0" w:line="240" w:lineRule="auto"/>
              <w:rPr>
                <w:rFonts w:ascii="Times New Roman" w:hAnsi="Times New Roman" w:cs="Times New Roman"/>
                <w:sz w:val="20"/>
                <w:szCs w:val="20"/>
                <w:lang w:eastAsia="sk-SK"/>
              </w:rPr>
            </w:pPr>
            <w:r w:rsidRPr="00355233">
              <w:rPr>
                <w:rFonts w:ascii="Times New Roman" w:hAnsi="Times New Roman" w:cs="Times New Roman"/>
                <w:sz w:val="20"/>
                <w:szCs w:val="20"/>
                <w:lang w:eastAsia="sk-SK"/>
              </w:rPr>
              <w:t>prednášky</w:t>
            </w:r>
          </w:p>
        </w:tc>
        <w:tc>
          <w:tcPr>
            <w:tcW w:w="597" w:type="pct"/>
            <w:tcBorders>
              <w:top w:val="single" w:sz="4" w:space="0" w:color="auto"/>
              <w:left w:val="nil"/>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25,6</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28,8</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26,5</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26,9</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33,6</w:t>
            </w:r>
          </w:p>
        </w:tc>
      </w:tr>
      <w:tr w:rsidR="00803CCF" w:rsidRPr="00C679EA" w:rsidTr="00744108">
        <w:trPr>
          <w:trHeight w:val="255"/>
        </w:trPr>
        <w:tc>
          <w:tcPr>
            <w:tcW w:w="205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03CCF" w:rsidRPr="00355233" w:rsidRDefault="00803CCF" w:rsidP="00355233">
            <w:pPr>
              <w:spacing w:after="0" w:line="240" w:lineRule="auto"/>
              <w:rPr>
                <w:rFonts w:ascii="Times New Roman" w:hAnsi="Times New Roman" w:cs="Times New Roman"/>
                <w:sz w:val="20"/>
                <w:szCs w:val="20"/>
                <w:lang w:eastAsia="sk-SK"/>
              </w:rPr>
            </w:pPr>
            <w:r w:rsidRPr="00355233">
              <w:rPr>
                <w:rFonts w:ascii="Times New Roman" w:hAnsi="Times New Roman" w:cs="Times New Roman"/>
                <w:sz w:val="20"/>
                <w:szCs w:val="20"/>
                <w:lang w:eastAsia="sk-SK"/>
              </w:rPr>
              <w:t>súťaže</w:t>
            </w:r>
          </w:p>
        </w:tc>
        <w:tc>
          <w:tcPr>
            <w:tcW w:w="597" w:type="pct"/>
            <w:tcBorders>
              <w:top w:val="single" w:sz="4" w:space="0" w:color="auto"/>
              <w:left w:val="nil"/>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22,3</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16,0</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18,6</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21,4</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21,7</w:t>
            </w:r>
          </w:p>
        </w:tc>
      </w:tr>
      <w:tr w:rsidR="00803CCF" w:rsidRPr="00C679EA" w:rsidTr="00744108">
        <w:trPr>
          <w:trHeight w:val="255"/>
        </w:trPr>
        <w:tc>
          <w:tcPr>
            <w:tcW w:w="205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03CCF" w:rsidRPr="00355233" w:rsidRDefault="00803CCF" w:rsidP="00355233">
            <w:pPr>
              <w:spacing w:after="0" w:line="240" w:lineRule="auto"/>
              <w:rPr>
                <w:rFonts w:ascii="Times New Roman" w:hAnsi="Times New Roman" w:cs="Times New Roman"/>
                <w:sz w:val="20"/>
                <w:szCs w:val="20"/>
                <w:lang w:eastAsia="sk-SK"/>
              </w:rPr>
            </w:pPr>
            <w:r w:rsidRPr="00355233">
              <w:rPr>
                <w:rFonts w:ascii="Times New Roman" w:hAnsi="Times New Roman" w:cs="Times New Roman"/>
                <w:sz w:val="20"/>
                <w:szCs w:val="20"/>
                <w:lang w:eastAsia="sk-SK"/>
              </w:rPr>
              <w:t>iný spôsob</w:t>
            </w:r>
          </w:p>
        </w:tc>
        <w:tc>
          <w:tcPr>
            <w:tcW w:w="597" w:type="pct"/>
            <w:tcBorders>
              <w:top w:val="single" w:sz="4" w:space="0" w:color="auto"/>
              <w:left w:val="nil"/>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12,4</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2,3</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3,2</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2,2</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bottom"/>
          </w:tcPr>
          <w:p w:rsidR="00803CCF" w:rsidRPr="00355233" w:rsidRDefault="00803CCF"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4,2</w:t>
            </w:r>
          </w:p>
        </w:tc>
      </w:tr>
    </w:tbl>
    <w:p w:rsidR="00803CCF" w:rsidRPr="00C679EA" w:rsidRDefault="00803CCF" w:rsidP="00C679EA">
      <w:pPr>
        <w:spacing w:after="0" w:line="240" w:lineRule="auto"/>
        <w:jc w:val="both"/>
        <w:rPr>
          <w:rFonts w:ascii="Times New Roman" w:hAnsi="Times New Roman" w:cs="Times New Roman"/>
          <w:color w:val="FF0000"/>
          <w:sz w:val="24"/>
          <w:szCs w:val="24"/>
        </w:rPr>
      </w:pPr>
      <w:r w:rsidRPr="00C679EA">
        <w:rPr>
          <w:rFonts w:ascii="Times New Roman" w:hAnsi="Times New Roman" w:cs="Times New Roman"/>
        </w:rPr>
        <w:t>Poznámka: Súčet presahuje 100 % pre možnosti voľby viacerých odpovedí.</w:t>
      </w:r>
    </w:p>
    <w:p w:rsidR="00803CCF" w:rsidRDefault="00803CCF" w:rsidP="00803CCF">
      <w:pPr>
        <w:jc w:val="both"/>
        <w:rPr>
          <w:sz w:val="24"/>
          <w:szCs w:val="24"/>
        </w:rPr>
      </w:pPr>
    </w:p>
    <w:p w:rsidR="006028D1" w:rsidRPr="006028D1" w:rsidRDefault="006028D1" w:rsidP="006028D1">
      <w:pPr>
        <w:pStyle w:val="Nadpis3"/>
        <w:jc w:val="both"/>
        <w:rPr>
          <w:szCs w:val="24"/>
        </w:rPr>
      </w:pPr>
      <w:bookmarkStart w:id="2" w:name="_Toc441149734"/>
      <w:r w:rsidRPr="006028D1">
        <w:rPr>
          <w:szCs w:val="24"/>
        </w:rPr>
        <w:t>Odborné materiály využívané pri výučbe ľudských práv</w:t>
      </w:r>
      <w:bookmarkEnd w:id="2"/>
    </w:p>
    <w:p w:rsidR="006028D1" w:rsidRDefault="006028D1" w:rsidP="00832B6B">
      <w:pPr>
        <w:spacing w:after="0" w:line="240" w:lineRule="auto"/>
        <w:jc w:val="both"/>
        <w:rPr>
          <w:rFonts w:ascii="Times New Roman" w:hAnsi="Times New Roman" w:cs="Times New Roman"/>
          <w:sz w:val="24"/>
          <w:szCs w:val="24"/>
        </w:rPr>
      </w:pPr>
      <w:r w:rsidRPr="006028D1">
        <w:rPr>
          <w:rFonts w:ascii="Times New Roman" w:hAnsi="Times New Roman" w:cs="Times New Roman"/>
          <w:sz w:val="24"/>
          <w:szCs w:val="24"/>
        </w:rPr>
        <w:t xml:space="preserve">Problematika ľudských práv nie je obsiahnutá v samostatnom vyučovacom predmete, ale tvorí neoddeliteľnú súčasť učebných osnov viacerých predmetov. Vo výskume nás zaujímalo, akou formou vzdelávajú učitelia základných a stredných škôl žiakov o ľudských právach. </w:t>
      </w:r>
    </w:p>
    <w:p w:rsidR="006028D1" w:rsidRPr="006028D1" w:rsidRDefault="006028D1" w:rsidP="00355233">
      <w:pPr>
        <w:pStyle w:val="Zkladntext3"/>
        <w:spacing w:line="240" w:lineRule="auto"/>
        <w:jc w:val="both"/>
        <w:rPr>
          <w:rFonts w:ascii="Times New Roman" w:hAnsi="Times New Roman" w:cs="Times New Roman"/>
          <w:sz w:val="24"/>
          <w:szCs w:val="24"/>
        </w:rPr>
      </w:pPr>
      <w:r w:rsidRPr="006028D1">
        <w:rPr>
          <w:rFonts w:ascii="Times New Roman" w:hAnsi="Times New Roman" w:cs="Times New Roman"/>
          <w:sz w:val="24"/>
          <w:szCs w:val="24"/>
        </w:rPr>
        <w:t xml:space="preserve">Pri výučbe ľudských práv učitelia najčastejšie využívajú a to rovnako ako v predchádzajúcich zisťovaniach, </w:t>
      </w:r>
      <w:r w:rsidRPr="006028D1">
        <w:rPr>
          <w:rFonts w:ascii="Times New Roman" w:hAnsi="Times New Roman" w:cs="Times New Roman"/>
          <w:b/>
          <w:sz w:val="24"/>
          <w:szCs w:val="24"/>
        </w:rPr>
        <w:t>učebnicu predmet</w:t>
      </w:r>
      <w:r w:rsidR="00832B6B">
        <w:rPr>
          <w:rFonts w:ascii="Times New Roman" w:hAnsi="Times New Roman" w:cs="Times New Roman"/>
          <w:b/>
          <w:sz w:val="24"/>
          <w:szCs w:val="24"/>
        </w:rPr>
        <w:t>u doplnenú odbornými materiálmi</w:t>
      </w:r>
      <w:r w:rsidR="00832B6B">
        <w:rPr>
          <w:rFonts w:ascii="Times New Roman" w:hAnsi="Times New Roman" w:cs="Times New Roman"/>
          <w:sz w:val="24"/>
          <w:szCs w:val="24"/>
        </w:rPr>
        <w:t>. Približne štvrtina</w:t>
      </w:r>
      <w:r w:rsidRPr="006028D1">
        <w:rPr>
          <w:rFonts w:ascii="Times New Roman" w:hAnsi="Times New Roman" w:cs="Times New Roman"/>
          <w:sz w:val="24"/>
          <w:szCs w:val="24"/>
        </w:rPr>
        <w:t xml:space="preserve"> však ťažisko kladie na </w:t>
      </w:r>
      <w:r w:rsidRPr="006028D1">
        <w:rPr>
          <w:rFonts w:ascii="Times New Roman" w:hAnsi="Times New Roman" w:cs="Times New Roman"/>
          <w:b/>
          <w:sz w:val="24"/>
          <w:szCs w:val="24"/>
        </w:rPr>
        <w:t xml:space="preserve">odborné materiály a príručky </w:t>
      </w:r>
      <w:r w:rsidRPr="006028D1">
        <w:rPr>
          <w:rFonts w:ascii="Times New Roman" w:hAnsi="Times New Roman" w:cs="Times New Roman"/>
          <w:sz w:val="24"/>
          <w:szCs w:val="24"/>
        </w:rPr>
        <w:t xml:space="preserve">a tie potom </w:t>
      </w:r>
      <w:r w:rsidRPr="006028D1">
        <w:rPr>
          <w:rFonts w:ascii="Times New Roman" w:hAnsi="Times New Roman" w:cs="Times New Roman"/>
          <w:b/>
          <w:sz w:val="24"/>
          <w:szCs w:val="24"/>
        </w:rPr>
        <w:t>dopĺňa učebnicou predmetu</w:t>
      </w:r>
      <w:r w:rsidRPr="006028D1">
        <w:rPr>
          <w:rFonts w:ascii="Times New Roman" w:hAnsi="Times New Roman" w:cs="Times New Roman"/>
          <w:sz w:val="24"/>
          <w:szCs w:val="24"/>
        </w:rPr>
        <w:t xml:space="preserve">. Aj to podporuje predchádzajúce tvrdenia o náraste aktívnych a názorných foriem výučby v regionálnom školstve a svedčí na jednej strane o kreativite súčasných učiteľov a ich snahe zefektívniť a spopularizovať učivo, na druhej strane o dostatku odborných materiálov venujúcich sa problematike ľudských práv. Nasleduje </w:t>
      </w:r>
      <w:r w:rsidRPr="006028D1">
        <w:rPr>
          <w:rFonts w:ascii="Times New Roman" w:hAnsi="Times New Roman" w:cs="Times New Roman"/>
          <w:b/>
          <w:sz w:val="24"/>
          <w:szCs w:val="24"/>
        </w:rPr>
        <w:t>výlučné využívanie odborných materiálov a pomôcok</w:t>
      </w:r>
      <w:r w:rsidRPr="006028D1">
        <w:rPr>
          <w:rFonts w:ascii="Times New Roman" w:hAnsi="Times New Roman" w:cs="Times New Roman"/>
          <w:sz w:val="24"/>
          <w:szCs w:val="24"/>
        </w:rPr>
        <w:t>, ktoré prezentovalo až 16,1 %, pričom tu zaznamenávame neustály nár</w:t>
      </w:r>
      <w:r w:rsidR="005213FF">
        <w:rPr>
          <w:rFonts w:ascii="Times New Roman" w:hAnsi="Times New Roman" w:cs="Times New Roman"/>
          <w:sz w:val="24"/>
          <w:szCs w:val="24"/>
        </w:rPr>
        <w:t>ast. Vyučovanie založené len</w:t>
      </w:r>
      <w:r w:rsidRPr="006028D1">
        <w:rPr>
          <w:rFonts w:ascii="Times New Roman" w:hAnsi="Times New Roman" w:cs="Times New Roman"/>
          <w:sz w:val="24"/>
          <w:szCs w:val="24"/>
        </w:rPr>
        <w:t xml:space="preserve"> na </w:t>
      </w:r>
      <w:r w:rsidRPr="006028D1">
        <w:rPr>
          <w:rFonts w:ascii="Times New Roman" w:hAnsi="Times New Roman" w:cs="Times New Roman"/>
          <w:b/>
          <w:sz w:val="24"/>
          <w:szCs w:val="24"/>
        </w:rPr>
        <w:t>učebnici predmetu</w:t>
      </w:r>
      <w:r w:rsidRPr="006028D1">
        <w:rPr>
          <w:rFonts w:ascii="Times New Roman" w:hAnsi="Times New Roman" w:cs="Times New Roman"/>
          <w:sz w:val="24"/>
          <w:szCs w:val="24"/>
        </w:rPr>
        <w:t xml:space="preserve"> deklarovalo 8,2 % oslovených a 33 (9,3 %) učiteľov označilo </w:t>
      </w:r>
      <w:r w:rsidRPr="006028D1">
        <w:rPr>
          <w:rFonts w:ascii="Times New Roman" w:hAnsi="Times New Roman" w:cs="Times New Roman"/>
          <w:b/>
          <w:sz w:val="24"/>
          <w:szCs w:val="24"/>
        </w:rPr>
        <w:t>iný spôsob výučby</w:t>
      </w:r>
      <w:r w:rsidRPr="006028D1">
        <w:rPr>
          <w:rFonts w:ascii="Times New Roman" w:hAnsi="Times New Roman" w:cs="Times New Roman"/>
          <w:sz w:val="24"/>
          <w:szCs w:val="24"/>
        </w:rPr>
        <w:t xml:space="preserve">. Išlo najčastejšie o kombináciu viacerých prameňov, využívanie vlastných textov, dennej tlače a modelových situácií, najmä internetu.  </w:t>
      </w:r>
    </w:p>
    <w:p w:rsidR="006028D1" w:rsidRPr="006028D1" w:rsidRDefault="006028D1" w:rsidP="00355233">
      <w:pPr>
        <w:spacing w:after="120" w:line="240" w:lineRule="auto"/>
        <w:jc w:val="both"/>
        <w:rPr>
          <w:rFonts w:ascii="Times New Roman" w:hAnsi="Times New Roman" w:cs="Times New Roman"/>
          <w:b/>
          <w:sz w:val="20"/>
          <w:szCs w:val="20"/>
        </w:rPr>
      </w:pPr>
      <w:r w:rsidRPr="006028D1">
        <w:rPr>
          <w:rFonts w:ascii="Times New Roman" w:hAnsi="Times New Roman" w:cs="Times New Roman"/>
          <w:b/>
          <w:sz w:val="20"/>
          <w:szCs w:val="20"/>
        </w:rPr>
        <w:t>Graf 2 Odborné materiály využívané pri výučbe ľudských práv</w:t>
      </w:r>
    </w:p>
    <w:p w:rsidR="006028D1" w:rsidRPr="006028D1" w:rsidRDefault="006028D1" w:rsidP="006028D1">
      <w:pPr>
        <w:spacing w:after="0" w:line="240" w:lineRule="auto"/>
        <w:jc w:val="both"/>
        <w:rPr>
          <w:rFonts w:ascii="Times New Roman" w:hAnsi="Times New Roman" w:cs="Times New Roman"/>
          <w:b/>
          <w:color w:val="FF0000"/>
          <w:sz w:val="24"/>
          <w:szCs w:val="24"/>
        </w:rPr>
      </w:pPr>
      <w:r w:rsidRPr="006028D1">
        <w:rPr>
          <w:rFonts w:ascii="Times New Roman" w:hAnsi="Times New Roman" w:cs="Times New Roman"/>
          <w:b/>
          <w:noProof/>
          <w:sz w:val="24"/>
          <w:szCs w:val="24"/>
          <w:lang w:eastAsia="sk-SK"/>
        </w:rPr>
        <w:drawing>
          <wp:inline distT="0" distB="0" distL="0" distR="0" wp14:anchorId="0D271D91" wp14:editId="30A60504">
            <wp:extent cx="5783580" cy="1882140"/>
            <wp:effectExtent l="0" t="0" r="0" b="0"/>
            <wp:docPr id="2" name="Graf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28D1" w:rsidRDefault="006028D1" w:rsidP="006028D1">
      <w:pPr>
        <w:pStyle w:val="Zkladntext3"/>
        <w:spacing w:after="0" w:line="240" w:lineRule="auto"/>
        <w:jc w:val="both"/>
        <w:rPr>
          <w:rFonts w:ascii="Times New Roman" w:hAnsi="Times New Roman" w:cs="Times New Roman"/>
          <w:sz w:val="24"/>
          <w:szCs w:val="24"/>
        </w:rPr>
      </w:pPr>
      <w:r w:rsidRPr="006028D1">
        <w:rPr>
          <w:rFonts w:ascii="Times New Roman" w:hAnsi="Times New Roman" w:cs="Times New Roman"/>
          <w:sz w:val="24"/>
          <w:szCs w:val="24"/>
        </w:rPr>
        <w:t xml:space="preserve">Na základe rozloženia odpovedí </w:t>
      </w:r>
      <w:r w:rsidRPr="00EC76E4">
        <w:rPr>
          <w:rFonts w:ascii="Times New Roman" w:hAnsi="Times New Roman" w:cs="Times New Roman"/>
          <w:sz w:val="24"/>
          <w:szCs w:val="24"/>
        </w:rPr>
        <w:t>podľa typu školy</w:t>
      </w:r>
      <w:r w:rsidRPr="006028D1">
        <w:rPr>
          <w:rFonts w:ascii="Times New Roman" w:hAnsi="Times New Roman" w:cs="Times New Roman"/>
          <w:sz w:val="24"/>
          <w:szCs w:val="24"/>
        </w:rPr>
        <w:t xml:space="preserve"> pôsobnosti učiteľa </w:t>
      </w:r>
      <w:r w:rsidR="00EC76E4">
        <w:rPr>
          <w:rFonts w:ascii="Times New Roman" w:hAnsi="Times New Roman" w:cs="Times New Roman"/>
          <w:sz w:val="24"/>
          <w:szCs w:val="24"/>
        </w:rPr>
        <w:t>je zrejmá</w:t>
      </w:r>
      <w:r w:rsidRPr="006028D1">
        <w:rPr>
          <w:rFonts w:ascii="Times New Roman" w:hAnsi="Times New Roman" w:cs="Times New Roman"/>
          <w:sz w:val="24"/>
          <w:szCs w:val="24"/>
        </w:rPr>
        <w:t xml:space="preserve"> </w:t>
      </w:r>
      <w:r w:rsidR="00EC76E4">
        <w:rPr>
          <w:rFonts w:ascii="Times New Roman" w:hAnsi="Times New Roman" w:cs="Times New Roman"/>
          <w:sz w:val="24"/>
          <w:szCs w:val="24"/>
        </w:rPr>
        <w:t>prevaha</w:t>
      </w:r>
      <w:r w:rsidRPr="006028D1">
        <w:rPr>
          <w:rFonts w:ascii="Times New Roman" w:hAnsi="Times New Roman" w:cs="Times New Roman"/>
          <w:sz w:val="24"/>
          <w:szCs w:val="24"/>
        </w:rPr>
        <w:t xml:space="preserve"> výučby ľudských práv učebnicou predmetu doplnenou odbornými materiálmi a pomôckami v oboch typoch škôl (SŠ 40,9 %, ZŠ 47,3 %). Je zaujímavé, že výraznejšie sa prejavuje v základných školách</w:t>
      </w:r>
      <w:r w:rsidR="005213FF">
        <w:rPr>
          <w:rFonts w:ascii="Times New Roman" w:hAnsi="Times New Roman" w:cs="Times New Roman"/>
          <w:sz w:val="24"/>
          <w:szCs w:val="24"/>
        </w:rPr>
        <w:t>,</w:t>
      </w:r>
      <w:r w:rsidRPr="006028D1">
        <w:rPr>
          <w:rFonts w:ascii="Times New Roman" w:hAnsi="Times New Roman" w:cs="Times New Roman"/>
          <w:sz w:val="24"/>
          <w:szCs w:val="24"/>
        </w:rPr>
        <w:t xml:space="preserve"> a to na rozdiel od výučby založenej výlučne na odborných materiáloch, príručkác</w:t>
      </w:r>
      <w:r w:rsidR="002C6F0F">
        <w:rPr>
          <w:rFonts w:ascii="Times New Roman" w:hAnsi="Times New Roman" w:cs="Times New Roman"/>
          <w:sz w:val="24"/>
          <w:szCs w:val="24"/>
        </w:rPr>
        <w:t>h a názorných pomôckach</w:t>
      </w:r>
      <w:r w:rsidRPr="006028D1">
        <w:rPr>
          <w:rFonts w:ascii="Times New Roman" w:hAnsi="Times New Roman" w:cs="Times New Roman"/>
          <w:sz w:val="24"/>
          <w:szCs w:val="24"/>
        </w:rPr>
        <w:t>. Súvisí to pravdepodobne s celkovo vyššou odbornou aj psychickou vyspelosťou žiakov – stredoškolákov. Až každý štvrtý oslovený, bez rozdielu typu školy</w:t>
      </w:r>
      <w:r w:rsidR="005213FF">
        <w:rPr>
          <w:rFonts w:ascii="Times New Roman" w:hAnsi="Times New Roman" w:cs="Times New Roman"/>
          <w:sz w:val="24"/>
          <w:szCs w:val="24"/>
        </w:rPr>
        <w:t>, pri výučbe ľudských práv</w:t>
      </w:r>
      <w:r w:rsidRPr="006028D1">
        <w:rPr>
          <w:rFonts w:ascii="Times New Roman" w:hAnsi="Times New Roman" w:cs="Times New Roman"/>
          <w:sz w:val="24"/>
          <w:szCs w:val="24"/>
        </w:rPr>
        <w:t xml:space="preserve"> využí</w:t>
      </w:r>
      <w:r w:rsidR="005213FF">
        <w:rPr>
          <w:rFonts w:ascii="Times New Roman" w:hAnsi="Times New Roman" w:cs="Times New Roman"/>
          <w:sz w:val="24"/>
          <w:szCs w:val="24"/>
        </w:rPr>
        <w:t>va odborné materiály a príručky</w:t>
      </w:r>
      <w:r w:rsidRPr="006028D1">
        <w:rPr>
          <w:rFonts w:ascii="Times New Roman" w:hAnsi="Times New Roman" w:cs="Times New Roman"/>
          <w:sz w:val="24"/>
          <w:szCs w:val="24"/>
        </w:rPr>
        <w:t xml:space="preserve"> dopl</w:t>
      </w:r>
      <w:r w:rsidR="002C6F0F">
        <w:rPr>
          <w:rFonts w:ascii="Times New Roman" w:hAnsi="Times New Roman" w:cs="Times New Roman"/>
          <w:sz w:val="24"/>
          <w:szCs w:val="24"/>
        </w:rPr>
        <w:t>nené učebnicou predmetu</w:t>
      </w:r>
      <w:r w:rsidRPr="006028D1">
        <w:rPr>
          <w:rFonts w:ascii="Times New Roman" w:hAnsi="Times New Roman" w:cs="Times New Roman"/>
          <w:sz w:val="24"/>
          <w:szCs w:val="24"/>
        </w:rPr>
        <w:t>. Približ</w:t>
      </w:r>
      <w:r w:rsidR="002C6F0F">
        <w:rPr>
          <w:rFonts w:ascii="Times New Roman" w:hAnsi="Times New Roman" w:cs="Times New Roman"/>
          <w:sz w:val="24"/>
          <w:szCs w:val="24"/>
        </w:rPr>
        <w:t>ne každý desiaty pedagóg</w:t>
      </w:r>
      <w:r w:rsidRPr="006028D1">
        <w:rPr>
          <w:rFonts w:ascii="Times New Roman" w:hAnsi="Times New Roman" w:cs="Times New Roman"/>
          <w:sz w:val="24"/>
          <w:szCs w:val="24"/>
        </w:rPr>
        <w:t xml:space="preserve"> oboch typov škôl uvádzal iné formy vzdelávania ľudských práv, avšak bez konkretizácie.</w:t>
      </w:r>
    </w:p>
    <w:p w:rsidR="004F7CBB" w:rsidRDefault="004F7CBB" w:rsidP="006028D1">
      <w:pPr>
        <w:pStyle w:val="Zkladntext3"/>
        <w:spacing w:after="0" w:line="240" w:lineRule="auto"/>
        <w:jc w:val="both"/>
        <w:rPr>
          <w:rFonts w:ascii="Times New Roman" w:hAnsi="Times New Roman" w:cs="Times New Roman"/>
          <w:sz w:val="24"/>
          <w:szCs w:val="24"/>
        </w:rPr>
      </w:pPr>
    </w:p>
    <w:p w:rsidR="004F7CBB" w:rsidRPr="00355233" w:rsidRDefault="004F7CBB" w:rsidP="00355233">
      <w:pPr>
        <w:pStyle w:val="Nadpis3"/>
        <w:rPr>
          <w:szCs w:val="24"/>
        </w:rPr>
      </w:pPr>
      <w:bookmarkStart w:id="3" w:name="_Toc441149735"/>
      <w:r w:rsidRPr="00355233">
        <w:rPr>
          <w:szCs w:val="24"/>
        </w:rPr>
        <w:lastRenderedPageBreak/>
        <w:t>Možnosť prejavu názoru žiaka na hodine zameranej na výučbu ľudských práv</w:t>
      </w:r>
      <w:bookmarkEnd w:id="3"/>
    </w:p>
    <w:p w:rsidR="00355233" w:rsidRDefault="004F7CBB" w:rsidP="00355233">
      <w:pPr>
        <w:spacing w:after="0" w:line="240" w:lineRule="auto"/>
        <w:jc w:val="both"/>
        <w:rPr>
          <w:rFonts w:ascii="Times New Roman" w:hAnsi="Times New Roman" w:cs="Times New Roman"/>
          <w:sz w:val="24"/>
          <w:szCs w:val="24"/>
        </w:rPr>
      </w:pPr>
      <w:r w:rsidRPr="00355233">
        <w:rPr>
          <w:rFonts w:ascii="Times New Roman" w:hAnsi="Times New Roman" w:cs="Times New Roman"/>
          <w:sz w:val="24"/>
          <w:szCs w:val="24"/>
        </w:rPr>
        <w:t xml:space="preserve">Popri analýze spôsobu výučby ľudských práv v základných a stredných školách sme vo výskume sledovali aj to, aký priestor dostávajú žiaci na vyjadrenie svojho názoru na informácie získané od učiteľa pri výučbe ľudských práv. </w:t>
      </w:r>
    </w:p>
    <w:p w:rsidR="004F7CBB" w:rsidRPr="00355233" w:rsidRDefault="004F7CBB" w:rsidP="00355233">
      <w:pPr>
        <w:spacing w:after="120" w:line="240" w:lineRule="auto"/>
        <w:jc w:val="both"/>
        <w:rPr>
          <w:rFonts w:ascii="Times New Roman" w:hAnsi="Times New Roman" w:cs="Times New Roman"/>
          <w:sz w:val="24"/>
          <w:szCs w:val="24"/>
        </w:rPr>
      </w:pPr>
      <w:r w:rsidRPr="00355233">
        <w:rPr>
          <w:rFonts w:ascii="Times New Roman" w:hAnsi="Times New Roman" w:cs="Times New Roman"/>
          <w:sz w:val="24"/>
          <w:szCs w:val="24"/>
        </w:rPr>
        <w:t xml:space="preserve">Z oslovených učiteľov takmer 90 % (87,5 %) pripustilo </w:t>
      </w:r>
      <w:r w:rsidRPr="00355233">
        <w:rPr>
          <w:rFonts w:ascii="Times New Roman" w:hAnsi="Times New Roman" w:cs="Times New Roman"/>
          <w:b/>
          <w:sz w:val="24"/>
          <w:szCs w:val="24"/>
        </w:rPr>
        <w:t>možnosť prejavu</w:t>
      </w:r>
      <w:r w:rsidRPr="00355233">
        <w:rPr>
          <w:rFonts w:ascii="Times New Roman" w:hAnsi="Times New Roman" w:cs="Times New Roman"/>
          <w:sz w:val="24"/>
          <w:szCs w:val="24"/>
        </w:rPr>
        <w:t xml:space="preserve"> </w:t>
      </w:r>
      <w:r w:rsidRPr="00355233">
        <w:rPr>
          <w:rFonts w:ascii="Times New Roman" w:hAnsi="Times New Roman" w:cs="Times New Roman"/>
          <w:b/>
          <w:sz w:val="24"/>
          <w:szCs w:val="24"/>
        </w:rPr>
        <w:t>názoru žiakov</w:t>
      </w:r>
      <w:r w:rsidRPr="00355233">
        <w:rPr>
          <w:rFonts w:ascii="Times New Roman" w:hAnsi="Times New Roman" w:cs="Times New Roman"/>
          <w:sz w:val="24"/>
          <w:szCs w:val="24"/>
        </w:rPr>
        <w:t xml:space="preserve"> na vyučovaní ľudských práv. Z nich 45,8 % potvrdilo, že žiaci majú </w:t>
      </w:r>
      <w:r w:rsidRPr="00355233">
        <w:rPr>
          <w:rFonts w:ascii="Times New Roman" w:hAnsi="Times New Roman" w:cs="Times New Roman"/>
          <w:b/>
          <w:sz w:val="24"/>
          <w:szCs w:val="24"/>
        </w:rPr>
        <w:t xml:space="preserve">možnosť vyjadriť sa k informáciám </w:t>
      </w:r>
      <w:r w:rsidRPr="00355233">
        <w:rPr>
          <w:rFonts w:ascii="Times New Roman" w:hAnsi="Times New Roman" w:cs="Times New Roman"/>
          <w:sz w:val="24"/>
          <w:szCs w:val="24"/>
        </w:rPr>
        <w:t xml:space="preserve">získaným od učiteľa a 41,7 % učiteľov vníma výučbu ľudských práv ako </w:t>
      </w:r>
      <w:r w:rsidRPr="00355233">
        <w:rPr>
          <w:rFonts w:ascii="Times New Roman" w:hAnsi="Times New Roman" w:cs="Times New Roman"/>
          <w:b/>
          <w:sz w:val="24"/>
          <w:szCs w:val="24"/>
        </w:rPr>
        <w:t xml:space="preserve">formu diskusie </w:t>
      </w:r>
      <w:r w:rsidRPr="00355233">
        <w:rPr>
          <w:rFonts w:ascii="Times New Roman" w:hAnsi="Times New Roman" w:cs="Times New Roman"/>
          <w:sz w:val="24"/>
          <w:szCs w:val="24"/>
        </w:rPr>
        <w:t xml:space="preserve">medzi učiteľom a žiakmi. Pozitívne zistenie je, že len 29 (8,1 %) oslovených poukázalo na to, že pri výklade učiva </w:t>
      </w:r>
      <w:r w:rsidRPr="00355233">
        <w:rPr>
          <w:rFonts w:ascii="Times New Roman" w:hAnsi="Times New Roman" w:cs="Times New Roman"/>
          <w:b/>
          <w:sz w:val="24"/>
          <w:szCs w:val="24"/>
        </w:rPr>
        <w:t>nie je priestor na prejav názoru</w:t>
      </w:r>
      <w:r w:rsidRPr="00355233">
        <w:rPr>
          <w:rFonts w:ascii="Times New Roman" w:hAnsi="Times New Roman" w:cs="Times New Roman"/>
          <w:sz w:val="24"/>
          <w:szCs w:val="24"/>
        </w:rPr>
        <w:t xml:space="preserve"> žiakov, aj keď uvedené percento je výrazne vyššie ako pri predchádzajúcom zisťovaní (rok 2013: 4,4 %). </w:t>
      </w:r>
    </w:p>
    <w:p w:rsidR="004F7CBB" w:rsidRPr="00355233" w:rsidRDefault="004F7CBB" w:rsidP="00355233">
      <w:pPr>
        <w:spacing w:after="120" w:line="240" w:lineRule="auto"/>
        <w:rPr>
          <w:rFonts w:ascii="Times New Roman" w:hAnsi="Times New Roman" w:cs="Times New Roman"/>
          <w:b/>
          <w:sz w:val="20"/>
          <w:szCs w:val="20"/>
        </w:rPr>
      </w:pPr>
      <w:r w:rsidRPr="00355233">
        <w:rPr>
          <w:rFonts w:ascii="Times New Roman" w:hAnsi="Times New Roman" w:cs="Times New Roman"/>
          <w:b/>
          <w:sz w:val="20"/>
          <w:szCs w:val="20"/>
        </w:rPr>
        <w:t xml:space="preserve">Graf 3 Možnosť prejavu názoru žiaka na hodine zameranej na výučbu ľudských práv </w:t>
      </w:r>
    </w:p>
    <w:p w:rsidR="004F7CBB" w:rsidRPr="00355233" w:rsidRDefault="004F7CBB" w:rsidP="00355233">
      <w:pPr>
        <w:spacing w:after="0" w:line="240" w:lineRule="auto"/>
        <w:rPr>
          <w:rFonts w:ascii="Times New Roman" w:hAnsi="Times New Roman" w:cs="Times New Roman"/>
          <w:b/>
          <w:sz w:val="24"/>
          <w:szCs w:val="24"/>
        </w:rPr>
      </w:pPr>
      <w:r w:rsidRPr="00355233">
        <w:rPr>
          <w:rFonts w:ascii="Times New Roman" w:hAnsi="Times New Roman" w:cs="Times New Roman"/>
          <w:b/>
          <w:noProof/>
          <w:sz w:val="24"/>
          <w:szCs w:val="24"/>
          <w:lang w:eastAsia="sk-SK"/>
        </w:rPr>
        <w:drawing>
          <wp:inline distT="0" distB="0" distL="0" distR="0" wp14:anchorId="6C1B2CEA" wp14:editId="6996EB44">
            <wp:extent cx="5722620" cy="1554480"/>
            <wp:effectExtent l="0" t="0" r="0" b="0"/>
            <wp:docPr id="4" name="Graf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7CBB" w:rsidRPr="00355233" w:rsidRDefault="004F7CBB" w:rsidP="00355233">
      <w:pPr>
        <w:spacing w:after="0" w:line="240" w:lineRule="auto"/>
        <w:rPr>
          <w:rFonts w:ascii="Times New Roman" w:hAnsi="Times New Roman" w:cs="Times New Roman"/>
          <w:b/>
          <w:sz w:val="24"/>
          <w:szCs w:val="24"/>
        </w:rPr>
      </w:pPr>
    </w:p>
    <w:p w:rsidR="004F7CBB" w:rsidRPr="00355233" w:rsidRDefault="004F7CBB" w:rsidP="00355233">
      <w:pPr>
        <w:spacing w:after="120" w:line="240" w:lineRule="auto"/>
        <w:jc w:val="both"/>
        <w:rPr>
          <w:rFonts w:ascii="Times New Roman" w:hAnsi="Times New Roman" w:cs="Times New Roman"/>
          <w:b/>
          <w:sz w:val="24"/>
          <w:szCs w:val="24"/>
        </w:rPr>
      </w:pPr>
      <w:r w:rsidRPr="00355233">
        <w:rPr>
          <w:rFonts w:ascii="Times New Roman" w:hAnsi="Times New Roman" w:cs="Times New Roman"/>
          <w:sz w:val="24"/>
          <w:szCs w:val="24"/>
        </w:rPr>
        <w:t xml:space="preserve">Na základe </w:t>
      </w:r>
      <w:r w:rsidRPr="00355233">
        <w:rPr>
          <w:rFonts w:ascii="Times New Roman" w:hAnsi="Times New Roman" w:cs="Times New Roman"/>
          <w:b/>
          <w:sz w:val="24"/>
          <w:szCs w:val="24"/>
        </w:rPr>
        <w:t>porovnania dát</w:t>
      </w:r>
      <w:r w:rsidRPr="00355233">
        <w:rPr>
          <w:rFonts w:ascii="Times New Roman" w:hAnsi="Times New Roman" w:cs="Times New Roman"/>
          <w:sz w:val="24"/>
          <w:szCs w:val="24"/>
        </w:rPr>
        <w:t xml:space="preserve"> </w:t>
      </w:r>
      <w:r w:rsidRPr="00355233">
        <w:rPr>
          <w:rFonts w:ascii="Times New Roman" w:hAnsi="Times New Roman" w:cs="Times New Roman"/>
          <w:b/>
          <w:sz w:val="24"/>
          <w:szCs w:val="24"/>
        </w:rPr>
        <w:t>za sledované obdobie</w:t>
      </w:r>
      <w:r w:rsidRPr="00355233">
        <w:rPr>
          <w:rFonts w:ascii="Times New Roman" w:hAnsi="Times New Roman" w:cs="Times New Roman"/>
          <w:sz w:val="24"/>
          <w:szCs w:val="24"/>
        </w:rPr>
        <w:t xml:space="preserve"> sa zistilo, že približne každý druhý oslovený učiteľ vo všetkých rokoch skúmania je toho názoru, že žiaci majú na vyučovaní ľudských práv dostatočný pries</w:t>
      </w:r>
      <w:r w:rsidR="00832B6B">
        <w:rPr>
          <w:rFonts w:ascii="Times New Roman" w:hAnsi="Times New Roman" w:cs="Times New Roman"/>
          <w:sz w:val="24"/>
          <w:szCs w:val="24"/>
        </w:rPr>
        <w:t>tor na vlastný prejav</w:t>
      </w:r>
      <w:r w:rsidRPr="00355233">
        <w:rPr>
          <w:rFonts w:ascii="Times New Roman" w:hAnsi="Times New Roman" w:cs="Times New Roman"/>
          <w:sz w:val="24"/>
          <w:szCs w:val="24"/>
        </w:rPr>
        <w:t xml:space="preserve">. V súčasnosti zaznamenávame klesajúci trend, čo sa prejavilo v náraste presvedčenia, že popri výklade učiva nie je priestor na prejavy žiakov. Aj takýmto spôsobom sa učitelia regionálneho školstva snažia poukázať na neustále sa zvyšujúci objem poznatkov vo všetkých oblastiach vzdelávania, a tým aj znižovanie priestoru pre diskusiu, prípadne názory žiakov. Podrobné údaje dokumentuje </w:t>
      </w:r>
      <w:r w:rsidRPr="00832B6B">
        <w:rPr>
          <w:rFonts w:ascii="Times New Roman" w:hAnsi="Times New Roman" w:cs="Times New Roman"/>
          <w:sz w:val="24"/>
          <w:szCs w:val="24"/>
        </w:rPr>
        <w:t>tabuľka </w:t>
      </w:r>
      <w:r w:rsidR="002C6F0F" w:rsidRPr="00832B6B">
        <w:rPr>
          <w:rFonts w:ascii="Times New Roman" w:hAnsi="Times New Roman" w:cs="Times New Roman"/>
          <w:sz w:val="24"/>
          <w:szCs w:val="24"/>
        </w:rPr>
        <w:t>2</w:t>
      </w:r>
      <w:r w:rsidRPr="00355233">
        <w:rPr>
          <w:rFonts w:ascii="Times New Roman" w:hAnsi="Times New Roman" w:cs="Times New Roman"/>
          <w:sz w:val="24"/>
          <w:szCs w:val="24"/>
        </w:rPr>
        <w:t>.</w:t>
      </w:r>
    </w:p>
    <w:p w:rsidR="004F7CBB" w:rsidRPr="00355233" w:rsidRDefault="004F7CBB" w:rsidP="00355233">
      <w:pPr>
        <w:spacing w:after="0" w:line="240" w:lineRule="auto"/>
        <w:rPr>
          <w:rFonts w:ascii="Times New Roman" w:hAnsi="Times New Roman" w:cs="Times New Roman"/>
          <w:b/>
          <w:sz w:val="20"/>
          <w:szCs w:val="20"/>
        </w:rPr>
      </w:pPr>
      <w:r w:rsidRPr="00355233">
        <w:rPr>
          <w:rFonts w:ascii="Times New Roman" w:hAnsi="Times New Roman" w:cs="Times New Roman"/>
          <w:b/>
          <w:sz w:val="20"/>
          <w:szCs w:val="20"/>
        </w:rPr>
        <w:t xml:space="preserve">Tabuľka </w:t>
      </w:r>
      <w:r w:rsidR="002C6F0F">
        <w:rPr>
          <w:rFonts w:ascii="Times New Roman" w:hAnsi="Times New Roman" w:cs="Times New Roman"/>
          <w:b/>
          <w:sz w:val="20"/>
          <w:szCs w:val="20"/>
        </w:rPr>
        <w:t>2</w:t>
      </w:r>
      <w:r w:rsidRPr="00355233">
        <w:rPr>
          <w:rFonts w:ascii="Times New Roman" w:hAnsi="Times New Roman" w:cs="Times New Roman"/>
          <w:b/>
          <w:sz w:val="20"/>
          <w:szCs w:val="20"/>
        </w:rPr>
        <w:t xml:space="preserve"> Možnosť prejavu názo</w:t>
      </w:r>
      <w:r w:rsidR="00923818">
        <w:rPr>
          <w:rFonts w:ascii="Times New Roman" w:hAnsi="Times New Roman" w:cs="Times New Roman"/>
          <w:b/>
          <w:sz w:val="20"/>
          <w:szCs w:val="20"/>
        </w:rPr>
        <w:t xml:space="preserve">ru žiaka </w:t>
      </w:r>
      <w:r w:rsidRPr="00355233">
        <w:rPr>
          <w:rFonts w:ascii="Times New Roman" w:hAnsi="Times New Roman" w:cs="Times New Roman"/>
          <w:b/>
          <w:sz w:val="20"/>
          <w:szCs w:val="20"/>
        </w:rPr>
        <w:t>– porovnanie údajov (v %)</w:t>
      </w:r>
    </w:p>
    <w:tbl>
      <w:tblPr>
        <w:tblW w:w="4925" w:type="pct"/>
        <w:tblInd w:w="70" w:type="dxa"/>
        <w:tblCellMar>
          <w:left w:w="70" w:type="dxa"/>
          <w:right w:w="70" w:type="dxa"/>
        </w:tblCellMar>
        <w:tblLook w:val="0000" w:firstRow="0" w:lastRow="0" w:firstColumn="0" w:lastColumn="0" w:noHBand="0" w:noVBand="0"/>
      </w:tblPr>
      <w:tblGrid>
        <w:gridCol w:w="3410"/>
        <w:gridCol w:w="1147"/>
        <w:gridCol w:w="1147"/>
        <w:gridCol w:w="1147"/>
        <w:gridCol w:w="1145"/>
        <w:gridCol w:w="1078"/>
      </w:tblGrid>
      <w:tr w:rsidR="004F7CBB" w:rsidRPr="00355233" w:rsidTr="00744108">
        <w:trPr>
          <w:trHeight w:val="255"/>
        </w:trPr>
        <w:tc>
          <w:tcPr>
            <w:tcW w:w="1879" w:type="pct"/>
            <w:tcBorders>
              <w:top w:val="single" w:sz="4" w:space="0" w:color="auto"/>
              <w:left w:val="single" w:sz="4" w:space="0" w:color="auto"/>
              <w:bottom w:val="single" w:sz="4" w:space="0" w:color="auto"/>
              <w:right w:val="single" w:sz="4" w:space="0" w:color="auto"/>
            </w:tcBorders>
            <w:shd w:val="clear" w:color="auto" w:fill="B8CCE4"/>
            <w:noWrap/>
            <w:vAlign w:val="bottom"/>
          </w:tcPr>
          <w:p w:rsidR="004F7CBB" w:rsidRPr="00355233" w:rsidRDefault="004F7CBB" w:rsidP="00355233">
            <w:pPr>
              <w:spacing w:after="0" w:line="240" w:lineRule="auto"/>
              <w:rPr>
                <w:rFonts w:ascii="Times New Roman" w:hAnsi="Times New Roman" w:cs="Times New Roman"/>
                <w:sz w:val="20"/>
                <w:szCs w:val="20"/>
                <w:lang w:eastAsia="sk-SK"/>
              </w:rPr>
            </w:pPr>
            <w:r w:rsidRPr="00355233">
              <w:rPr>
                <w:rFonts w:ascii="Times New Roman" w:hAnsi="Times New Roman" w:cs="Times New Roman"/>
                <w:sz w:val="20"/>
                <w:szCs w:val="20"/>
                <w:lang w:eastAsia="sk-SK"/>
              </w:rPr>
              <w:t> </w:t>
            </w:r>
          </w:p>
        </w:tc>
        <w:tc>
          <w:tcPr>
            <w:tcW w:w="632" w:type="pct"/>
            <w:tcBorders>
              <w:top w:val="single" w:sz="4" w:space="0" w:color="auto"/>
              <w:left w:val="nil"/>
              <w:bottom w:val="single" w:sz="4" w:space="0" w:color="auto"/>
              <w:right w:val="single" w:sz="4" w:space="0" w:color="auto"/>
            </w:tcBorders>
            <w:shd w:val="clear" w:color="auto" w:fill="B8CCE4"/>
            <w:vAlign w:val="bottom"/>
          </w:tcPr>
          <w:p w:rsidR="004F7CBB" w:rsidRPr="00355233" w:rsidRDefault="004F7CBB" w:rsidP="00355233">
            <w:pPr>
              <w:spacing w:after="0" w:line="240" w:lineRule="auto"/>
              <w:jc w:val="center"/>
              <w:rPr>
                <w:rFonts w:ascii="Times New Roman" w:hAnsi="Times New Roman" w:cs="Times New Roman"/>
                <w:b/>
                <w:sz w:val="20"/>
                <w:szCs w:val="20"/>
                <w:lang w:eastAsia="sk-SK"/>
              </w:rPr>
            </w:pPr>
            <w:r w:rsidRPr="00355233">
              <w:rPr>
                <w:rFonts w:ascii="Times New Roman" w:hAnsi="Times New Roman" w:cs="Times New Roman"/>
                <w:b/>
                <w:sz w:val="20"/>
                <w:szCs w:val="20"/>
                <w:lang w:eastAsia="sk-SK"/>
              </w:rPr>
              <w:t>2005</w:t>
            </w:r>
          </w:p>
        </w:tc>
        <w:tc>
          <w:tcPr>
            <w:tcW w:w="632" w:type="pct"/>
            <w:tcBorders>
              <w:top w:val="single" w:sz="4" w:space="0" w:color="auto"/>
              <w:left w:val="single" w:sz="4" w:space="0" w:color="auto"/>
              <w:bottom w:val="single" w:sz="4" w:space="0" w:color="auto"/>
              <w:right w:val="single" w:sz="4" w:space="0" w:color="auto"/>
            </w:tcBorders>
            <w:shd w:val="clear" w:color="auto" w:fill="B8CCE4"/>
            <w:vAlign w:val="bottom"/>
          </w:tcPr>
          <w:p w:rsidR="004F7CBB" w:rsidRPr="00355233" w:rsidRDefault="004F7CBB" w:rsidP="00355233">
            <w:pPr>
              <w:spacing w:after="0" w:line="240" w:lineRule="auto"/>
              <w:jc w:val="center"/>
              <w:rPr>
                <w:rFonts w:ascii="Times New Roman" w:hAnsi="Times New Roman" w:cs="Times New Roman"/>
                <w:b/>
                <w:sz w:val="20"/>
                <w:szCs w:val="20"/>
                <w:lang w:eastAsia="sk-SK"/>
              </w:rPr>
            </w:pPr>
            <w:r w:rsidRPr="00355233">
              <w:rPr>
                <w:rFonts w:ascii="Times New Roman" w:hAnsi="Times New Roman" w:cs="Times New Roman"/>
                <w:b/>
                <w:sz w:val="20"/>
                <w:szCs w:val="20"/>
                <w:lang w:eastAsia="sk-SK"/>
              </w:rPr>
              <w:t>2008</w:t>
            </w:r>
          </w:p>
        </w:tc>
        <w:tc>
          <w:tcPr>
            <w:tcW w:w="632" w:type="pct"/>
            <w:tcBorders>
              <w:top w:val="single" w:sz="4" w:space="0" w:color="auto"/>
              <w:left w:val="single" w:sz="4" w:space="0" w:color="auto"/>
              <w:bottom w:val="single" w:sz="4" w:space="0" w:color="auto"/>
              <w:right w:val="single" w:sz="4" w:space="0" w:color="auto"/>
            </w:tcBorders>
            <w:shd w:val="clear" w:color="auto" w:fill="B8CCE4"/>
          </w:tcPr>
          <w:p w:rsidR="004F7CBB" w:rsidRPr="00355233" w:rsidRDefault="004F7CBB" w:rsidP="00355233">
            <w:pPr>
              <w:spacing w:after="0" w:line="240" w:lineRule="auto"/>
              <w:jc w:val="center"/>
              <w:rPr>
                <w:rFonts w:ascii="Times New Roman" w:hAnsi="Times New Roman" w:cs="Times New Roman"/>
                <w:b/>
                <w:sz w:val="20"/>
                <w:szCs w:val="20"/>
                <w:lang w:eastAsia="sk-SK"/>
              </w:rPr>
            </w:pPr>
            <w:r w:rsidRPr="00355233">
              <w:rPr>
                <w:rFonts w:ascii="Times New Roman" w:hAnsi="Times New Roman" w:cs="Times New Roman"/>
                <w:b/>
                <w:sz w:val="20"/>
                <w:szCs w:val="20"/>
                <w:lang w:eastAsia="sk-SK"/>
              </w:rPr>
              <w:t>2011</w:t>
            </w:r>
          </w:p>
        </w:tc>
        <w:tc>
          <w:tcPr>
            <w:tcW w:w="631" w:type="pct"/>
            <w:tcBorders>
              <w:top w:val="single" w:sz="4" w:space="0" w:color="auto"/>
              <w:left w:val="single" w:sz="4" w:space="0" w:color="auto"/>
              <w:bottom w:val="single" w:sz="4" w:space="0" w:color="auto"/>
              <w:right w:val="single" w:sz="4" w:space="0" w:color="auto"/>
            </w:tcBorders>
            <w:shd w:val="clear" w:color="auto" w:fill="B8CCE4"/>
          </w:tcPr>
          <w:p w:rsidR="004F7CBB" w:rsidRPr="00355233" w:rsidRDefault="004F7CBB" w:rsidP="00355233">
            <w:pPr>
              <w:spacing w:after="0" w:line="240" w:lineRule="auto"/>
              <w:jc w:val="center"/>
              <w:rPr>
                <w:rFonts w:ascii="Times New Roman" w:hAnsi="Times New Roman" w:cs="Times New Roman"/>
                <w:b/>
                <w:sz w:val="20"/>
                <w:szCs w:val="20"/>
                <w:lang w:eastAsia="sk-SK"/>
              </w:rPr>
            </w:pPr>
            <w:r w:rsidRPr="00355233">
              <w:rPr>
                <w:rFonts w:ascii="Times New Roman" w:hAnsi="Times New Roman" w:cs="Times New Roman"/>
                <w:b/>
                <w:sz w:val="20"/>
                <w:szCs w:val="20"/>
                <w:lang w:eastAsia="sk-SK"/>
              </w:rPr>
              <w:t>2013</w:t>
            </w:r>
          </w:p>
        </w:tc>
        <w:tc>
          <w:tcPr>
            <w:tcW w:w="594" w:type="pct"/>
            <w:tcBorders>
              <w:top w:val="single" w:sz="4" w:space="0" w:color="auto"/>
              <w:left w:val="single" w:sz="4" w:space="0" w:color="auto"/>
              <w:bottom w:val="single" w:sz="4" w:space="0" w:color="auto"/>
              <w:right w:val="single" w:sz="4" w:space="0" w:color="auto"/>
            </w:tcBorders>
            <w:shd w:val="clear" w:color="auto" w:fill="B8CCE4"/>
          </w:tcPr>
          <w:p w:rsidR="004F7CBB" w:rsidRPr="00355233" w:rsidRDefault="004F7CBB" w:rsidP="00355233">
            <w:pPr>
              <w:spacing w:after="0" w:line="240" w:lineRule="auto"/>
              <w:jc w:val="center"/>
              <w:rPr>
                <w:rFonts w:ascii="Times New Roman" w:hAnsi="Times New Roman" w:cs="Times New Roman"/>
                <w:b/>
                <w:sz w:val="20"/>
                <w:szCs w:val="20"/>
                <w:lang w:eastAsia="sk-SK"/>
              </w:rPr>
            </w:pPr>
            <w:r w:rsidRPr="00355233">
              <w:rPr>
                <w:rFonts w:ascii="Times New Roman" w:hAnsi="Times New Roman" w:cs="Times New Roman"/>
                <w:b/>
                <w:sz w:val="20"/>
                <w:szCs w:val="20"/>
                <w:lang w:eastAsia="sk-SK"/>
              </w:rPr>
              <w:t>2015</w:t>
            </w:r>
          </w:p>
        </w:tc>
      </w:tr>
      <w:tr w:rsidR="004F7CBB" w:rsidRPr="00355233" w:rsidTr="00744108">
        <w:trPr>
          <w:trHeight w:val="255"/>
        </w:trPr>
        <w:tc>
          <w:tcPr>
            <w:tcW w:w="187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4F7CBB" w:rsidRPr="00355233" w:rsidRDefault="004F7CBB" w:rsidP="00355233">
            <w:pPr>
              <w:spacing w:after="0" w:line="240" w:lineRule="auto"/>
              <w:rPr>
                <w:rFonts w:ascii="Times New Roman" w:hAnsi="Times New Roman" w:cs="Times New Roman"/>
                <w:sz w:val="20"/>
                <w:szCs w:val="20"/>
                <w:lang w:eastAsia="sk-SK"/>
              </w:rPr>
            </w:pPr>
            <w:r w:rsidRPr="00355233">
              <w:rPr>
                <w:rFonts w:ascii="Times New Roman" w:hAnsi="Times New Roman" w:cs="Times New Roman"/>
                <w:sz w:val="20"/>
                <w:szCs w:val="20"/>
                <w:lang w:eastAsia="sk-SK"/>
              </w:rPr>
              <w:t>žiaci majú priestor vyjadriť názor</w:t>
            </w:r>
          </w:p>
        </w:tc>
        <w:tc>
          <w:tcPr>
            <w:tcW w:w="632" w:type="pct"/>
            <w:tcBorders>
              <w:top w:val="single" w:sz="4" w:space="0" w:color="auto"/>
              <w:left w:val="nil"/>
              <w:bottom w:val="single" w:sz="4" w:space="0" w:color="auto"/>
              <w:right w:val="single" w:sz="4" w:space="0" w:color="auto"/>
            </w:tcBorders>
            <w:shd w:val="clear" w:color="auto" w:fill="FFFFFF"/>
            <w:vAlign w:val="bottom"/>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49,6</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bottom"/>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48,9</w:t>
            </w:r>
          </w:p>
        </w:tc>
        <w:tc>
          <w:tcPr>
            <w:tcW w:w="632" w:type="pct"/>
            <w:tcBorders>
              <w:top w:val="single" w:sz="4" w:space="0" w:color="auto"/>
              <w:left w:val="single" w:sz="4" w:space="0" w:color="auto"/>
              <w:bottom w:val="single" w:sz="4" w:space="0" w:color="auto"/>
              <w:right w:val="single" w:sz="4" w:space="0" w:color="auto"/>
            </w:tcBorders>
            <w:shd w:val="clear" w:color="auto" w:fill="FFFFFF"/>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49,0</w:t>
            </w:r>
          </w:p>
        </w:tc>
        <w:tc>
          <w:tcPr>
            <w:tcW w:w="631" w:type="pct"/>
            <w:tcBorders>
              <w:top w:val="single" w:sz="4" w:space="0" w:color="auto"/>
              <w:left w:val="single" w:sz="4" w:space="0" w:color="auto"/>
              <w:bottom w:val="single" w:sz="4" w:space="0" w:color="auto"/>
              <w:right w:val="single" w:sz="4" w:space="0" w:color="auto"/>
            </w:tcBorders>
            <w:shd w:val="clear" w:color="auto" w:fill="FFFFFF"/>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53,3</w:t>
            </w:r>
          </w:p>
        </w:tc>
        <w:tc>
          <w:tcPr>
            <w:tcW w:w="594" w:type="pct"/>
            <w:tcBorders>
              <w:top w:val="single" w:sz="4" w:space="0" w:color="auto"/>
              <w:left w:val="single" w:sz="4" w:space="0" w:color="auto"/>
              <w:bottom w:val="single" w:sz="4" w:space="0" w:color="auto"/>
              <w:right w:val="single" w:sz="4" w:space="0" w:color="auto"/>
            </w:tcBorders>
            <w:shd w:val="clear" w:color="auto" w:fill="FFFFFF"/>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45,8</w:t>
            </w:r>
          </w:p>
        </w:tc>
      </w:tr>
      <w:tr w:rsidR="004F7CBB" w:rsidRPr="00355233" w:rsidTr="00744108">
        <w:trPr>
          <w:trHeight w:val="255"/>
        </w:trPr>
        <w:tc>
          <w:tcPr>
            <w:tcW w:w="187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4F7CBB" w:rsidRPr="00355233" w:rsidRDefault="004F7CBB" w:rsidP="00355233">
            <w:pPr>
              <w:spacing w:after="0" w:line="240" w:lineRule="auto"/>
              <w:rPr>
                <w:rFonts w:ascii="Times New Roman" w:hAnsi="Times New Roman" w:cs="Times New Roman"/>
                <w:sz w:val="20"/>
                <w:szCs w:val="20"/>
                <w:lang w:eastAsia="sk-SK"/>
              </w:rPr>
            </w:pPr>
            <w:r w:rsidRPr="00355233">
              <w:rPr>
                <w:rFonts w:ascii="Times New Roman" w:hAnsi="Times New Roman" w:cs="Times New Roman"/>
                <w:sz w:val="20"/>
                <w:szCs w:val="20"/>
                <w:lang w:eastAsia="sk-SK"/>
              </w:rPr>
              <w:t>vyučovanie formou diskusie</w:t>
            </w:r>
          </w:p>
        </w:tc>
        <w:tc>
          <w:tcPr>
            <w:tcW w:w="632" w:type="pct"/>
            <w:tcBorders>
              <w:top w:val="single" w:sz="4" w:space="0" w:color="auto"/>
              <w:left w:val="nil"/>
              <w:bottom w:val="single" w:sz="4" w:space="0" w:color="auto"/>
              <w:right w:val="single" w:sz="4" w:space="0" w:color="auto"/>
            </w:tcBorders>
            <w:shd w:val="clear" w:color="auto" w:fill="FFFFFF"/>
            <w:vAlign w:val="bottom"/>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50,4</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bottom"/>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43,5</w:t>
            </w:r>
          </w:p>
        </w:tc>
        <w:tc>
          <w:tcPr>
            <w:tcW w:w="632" w:type="pct"/>
            <w:tcBorders>
              <w:top w:val="single" w:sz="4" w:space="0" w:color="auto"/>
              <w:left w:val="single" w:sz="4" w:space="0" w:color="auto"/>
              <w:bottom w:val="single" w:sz="4" w:space="0" w:color="auto"/>
              <w:right w:val="single" w:sz="4" w:space="0" w:color="auto"/>
            </w:tcBorders>
            <w:shd w:val="clear" w:color="auto" w:fill="FFFFFF"/>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47,5</w:t>
            </w:r>
          </w:p>
        </w:tc>
        <w:tc>
          <w:tcPr>
            <w:tcW w:w="631" w:type="pct"/>
            <w:tcBorders>
              <w:top w:val="single" w:sz="4" w:space="0" w:color="auto"/>
              <w:left w:val="single" w:sz="4" w:space="0" w:color="auto"/>
              <w:bottom w:val="single" w:sz="4" w:space="0" w:color="auto"/>
              <w:right w:val="single" w:sz="4" w:space="0" w:color="auto"/>
            </w:tcBorders>
            <w:shd w:val="clear" w:color="auto" w:fill="FFFFFF"/>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40,1</w:t>
            </w:r>
          </w:p>
        </w:tc>
        <w:tc>
          <w:tcPr>
            <w:tcW w:w="594" w:type="pct"/>
            <w:tcBorders>
              <w:top w:val="single" w:sz="4" w:space="0" w:color="auto"/>
              <w:left w:val="single" w:sz="4" w:space="0" w:color="auto"/>
              <w:bottom w:val="single" w:sz="4" w:space="0" w:color="auto"/>
              <w:right w:val="single" w:sz="4" w:space="0" w:color="auto"/>
            </w:tcBorders>
            <w:shd w:val="clear" w:color="auto" w:fill="FFFFFF"/>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41,7</w:t>
            </w:r>
          </w:p>
        </w:tc>
      </w:tr>
      <w:tr w:rsidR="004F7CBB" w:rsidRPr="00355233" w:rsidTr="00744108">
        <w:trPr>
          <w:trHeight w:val="255"/>
        </w:trPr>
        <w:tc>
          <w:tcPr>
            <w:tcW w:w="187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4F7CBB" w:rsidRPr="00355233" w:rsidRDefault="004F7CBB" w:rsidP="00355233">
            <w:pPr>
              <w:spacing w:after="0" w:line="240" w:lineRule="auto"/>
              <w:rPr>
                <w:rFonts w:ascii="Times New Roman" w:hAnsi="Times New Roman" w:cs="Times New Roman"/>
                <w:sz w:val="20"/>
                <w:szCs w:val="20"/>
                <w:lang w:eastAsia="sk-SK"/>
              </w:rPr>
            </w:pPr>
            <w:r w:rsidRPr="00355233">
              <w:rPr>
                <w:rFonts w:ascii="Times New Roman" w:hAnsi="Times New Roman" w:cs="Times New Roman"/>
                <w:sz w:val="20"/>
                <w:szCs w:val="20"/>
                <w:lang w:eastAsia="sk-SK"/>
              </w:rPr>
              <w:t>na prejav názoru žiaka nie je priestor</w:t>
            </w:r>
          </w:p>
        </w:tc>
        <w:tc>
          <w:tcPr>
            <w:tcW w:w="632" w:type="pct"/>
            <w:tcBorders>
              <w:top w:val="single" w:sz="4" w:space="0" w:color="auto"/>
              <w:left w:val="nil"/>
              <w:bottom w:val="single" w:sz="4" w:space="0" w:color="auto"/>
              <w:right w:val="single" w:sz="4" w:space="0" w:color="auto"/>
            </w:tcBorders>
            <w:shd w:val="clear" w:color="auto" w:fill="FFFFFF"/>
            <w:vAlign w:val="bottom"/>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0,0</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bottom"/>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7,6</w:t>
            </w:r>
          </w:p>
        </w:tc>
        <w:tc>
          <w:tcPr>
            <w:tcW w:w="632" w:type="pct"/>
            <w:tcBorders>
              <w:top w:val="single" w:sz="4" w:space="0" w:color="auto"/>
              <w:left w:val="single" w:sz="4" w:space="0" w:color="auto"/>
              <w:bottom w:val="single" w:sz="4" w:space="0" w:color="auto"/>
              <w:right w:val="single" w:sz="4" w:space="0" w:color="auto"/>
            </w:tcBorders>
            <w:shd w:val="clear" w:color="auto" w:fill="FFFFFF"/>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3,5</w:t>
            </w:r>
          </w:p>
        </w:tc>
        <w:tc>
          <w:tcPr>
            <w:tcW w:w="631" w:type="pct"/>
            <w:tcBorders>
              <w:top w:val="single" w:sz="4" w:space="0" w:color="auto"/>
              <w:left w:val="single" w:sz="4" w:space="0" w:color="auto"/>
              <w:bottom w:val="single" w:sz="4" w:space="0" w:color="auto"/>
              <w:right w:val="single" w:sz="4" w:space="0" w:color="auto"/>
            </w:tcBorders>
            <w:shd w:val="clear" w:color="auto" w:fill="FFFFFF"/>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4,4</w:t>
            </w:r>
          </w:p>
        </w:tc>
        <w:tc>
          <w:tcPr>
            <w:tcW w:w="594" w:type="pct"/>
            <w:tcBorders>
              <w:top w:val="single" w:sz="4" w:space="0" w:color="auto"/>
              <w:left w:val="single" w:sz="4" w:space="0" w:color="auto"/>
              <w:bottom w:val="single" w:sz="4" w:space="0" w:color="auto"/>
              <w:right w:val="single" w:sz="4" w:space="0" w:color="auto"/>
            </w:tcBorders>
            <w:shd w:val="clear" w:color="auto" w:fill="FFFFFF"/>
          </w:tcPr>
          <w:p w:rsidR="004F7CBB" w:rsidRPr="00355233" w:rsidRDefault="004F7CBB" w:rsidP="00355233">
            <w:pPr>
              <w:spacing w:after="0" w:line="240" w:lineRule="auto"/>
              <w:jc w:val="center"/>
              <w:rPr>
                <w:rFonts w:ascii="Times New Roman" w:hAnsi="Times New Roman" w:cs="Times New Roman"/>
                <w:sz w:val="20"/>
                <w:szCs w:val="20"/>
                <w:lang w:eastAsia="sk-SK"/>
              </w:rPr>
            </w:pPr>
            <w:r w:rsidRPr="00355233">
              <w:rPr>
                <w:rFonts w:ascii="Times New Roman" w:hAnsi="Times New Roman" w:cs="Times New Roman"/>
                <w:sz w:val="20"/>
                <w:szCs w:val="20"/>
                <w:lang w:eastAsia="sk-SK"/>
              </w:rPr>
              <w:t>8,1</w:t>
            </w:r>
          </w:p>
        </w:tc>
      </w:tr>
    </w:tbl>
    <w:p w:rsidR="004F7CBB" w:rsidRPr="00355233" w:rsidRDefault="004F7CBB" w:rsidP="00355233">
      <w:pPr>
        <w:spacing w:after="0" w:line="240" w:lineRule="auto"/>
        <w:jc w:val="both"/>
        <w:rPr>
          <w:rFonts w:ascii="Times New Roman" w:hAnsi="Times New Roman" w:cs="Times New Roman"/>
          <w:b/>
          <w:color w:val="FF0000"/>
          <w:sz w:val="24"/>
          <w:szCs w:val="24"/>
        </w:rPr>
      </w:pPr>
    </w:p>
    <w:p w:rsidR="004F7CBB" w:rsidRPr="00355233" w:rsidRDefault="004F7CBB" w:rsidP="00355233">
      <w:pPr>
        <w:spacing w:after="0" w:line="240" w:lineRule="auto"/>
        <w:jc w:val="both"/>
        <w:rPr>
          <w:rFonts w:ascii="Times New Roman" w:hAnsi="Times New Roman" w:cs="Times New Roman"/>
          <w:sz w:val="24"/>
          <w:szCs w:val="24"/>
        </w:rPr>
      </w:pPr>
      <w:r w:rsidRPr="002C6F0F">
        <w:rPr>
          <w:rFonts w:ascii="Times New Roman" w:hAnsi="Times New Roman" w:cs="Times New Roman"/>
          <w:sz w:val="24"/>
          <w:szCs w:val="24"/>
        </w:rPr>
        <w:t>Rozdiely podľa typu školy, v ktorej</w:t>
      </w:r>
      <w:r w:rsidRPr="00355233">
        <w:rPr>
          <w:rFonts w:ascii="Times New Roman" w:hAnsi="Times New Roman" w:cs="Times New Roman"/>
          <w:sz w:val="24"/>
          <w:szCs w:val="24"/>
        </w:rPr>
        <w:t xml:space="preserve"> pôsobia oslovení učitelia dokumentujú, že väčšina učiteľov základný</w:t>
      </w:r>
      <w:r w:rsidR="00832B6B">
        <w:rPr>
          <w:rFonts w:ascii="Times New Roman" w:hAnsi="Times New Roman" w:cs="Times New Roman"/>
          <w:sz w:val="24"/>
          <w:szCs w:val="24"/>
        </w:rPr>
        <w:t>ch aj stredných škôl je presvedčená</w:t>
      </w:r>
      <w:r w:rsidRPr="00355233">
        <w:rPr>
          <w:rFonts w:ascii="Times New Roman" w:hAnsi="Times New Roman" w:cs="Times New Roman"/>
          <w:sz w:val="24"/>
          <w:szCs w:val="24"/>
        </w:rPr>
        <w:t>, že žiaci majú možnosť na vyjadrenie svojho názoru na získané informácie, pričom výraznejšie túto skutočnosť prezentovali pedagógovia na nižšom stupni (ZŠ 47,3 %, SŠ 43,9 %). Približne 40 % skúmaných učiteľov deklarovalo výučbu formou</w:t>
      </w:r>
      <w:r w:rsidR="00832B6B">
        <w:rPr>
          <w:rFonts w:ascii="Times New Roman" w:hAnsi="Times New Roman" w:cs="Times New Roman"/>
          <w:sz w:val="24"/>
          <w:szCs w:val="24"/>
        </w:rPr>
        <w:t xml:space="preserve"> diskusie</w:t>
      </w:r>
      <w:r w:rsidRPr="00355233">
        <w:rPr>
          <w:rFonts w:ascii="Times New Roman" w:hAnsi="Times New Roman" w:cs="Times New Roman"/>
          <w:sz w:val="24"/>
          <w:szCs w:val="24"/>
        </w:rPr>
        <w:t xml:space="preserve">. Je teda zrejmé, že výučba ľudských práv v základných aj stredných školách vytvára priestor pre názory žiakov a diskusiu na preberanú tému. Na absenciu uvedeného priestoru poukazoval každý desiaty stredoškolský učiteľ a 6,5 % zo základných škôl. Učitelia základných a stredných škôl tak celkovo pozitívne vnímajú možnosti žiakov pri prezentácii svojich názorov na vyučovaní. </w:t>
      </w:r>
    </w:p>
    <w:p w:rsidR="004F7CBB" w:rsidRDefault="004F7CBB" w:rsidP="00355233">
      <w:pPr>
        <w:spacing w:after="0" w:line="240" w:lineRule="auto"/>
        <w:jc w:val="both"/>
        <w:rPr>
          <w:rFonts w:ascii="Times New Roman" w:hAnsi="Times New Roman" w:cs="Times New Roman"/>
          <w:b/>
          <w:sz w:val="24"/>
          <w:szCs w:val="24"/>
        </w:rPr>
      </w:pPr>
    </w:p>
    <w:p w:rsidR="000A71A6" w:rsidRPr="000A71A6" w:rsidRDefault="000A71A6" w:rsidP="000A71A6">
      <w:pPr>
        <w:pStyle w:val="Nadpis3"/>
        <w:rPr>
          <w:szCs w:val="24"/>
        </w:rPr>
      </w:pPr>
      <w:bookmarkStart w:id="4" w:name="_Toc441149736"/>
      <w:r w:rsidRPr="000A71A6">
        <w:rPr>
          <w:szCs w:val="24"/>
        </w:rPr>
        <w:t>Priestor pre problematiku ľudských práv vo vzdelávaní</w:t>
      </w:r>
      <w:bookmarkEnd w:id="4"/>
      <w:r w:rsidRPr="000A71A6">
        <w:rPr>
          <w:szCs w:val="24"/>
        </w:rPr>
        <w:t xml:space="preserve"> </w:t>
      </w:r>
    </w:p>
    <w:p w:rsidR="000A71A6" w:rsidRPr="000A71A6" w:rsidRDefault="000A71A6" w:rsidP="001B0718">
      <w:pPr>
        <w:pStyle w:val="Zkladntext3"/>
        <w:spacing w:line="240" w:lineRule="auto"/>
        <w:jc w:val="both"/>
        <w:rPr>
          <w:rFonts w:ascii="Times New Roman" w:hAnsi="Times New Roman" w:cs="Times New Roman"/>
          <w:sz w:val="24"/>
          <w:szCs w:val="24"/>
        </w:rPr>
      </w:pPr>
      <w:r w:rsidRPr="000A71A6">
        <w:rPr>
          <w:rFonts w:ascii="Times New Roman" w:hAnsi="Times New Roman" w:cs="Times New Roman"/>
          <w:sz w:val="24"/>
          <w:szCs w:val="24"/>
        </w:rPr>
        <w:t>Hoci nadpolovičná väčšina oslovených učiteľov zákl</w:t>
      </w:r>
      <w:r w:rsidR="00832B6B">
        <w:rPr>
          <w:rFonts w:ascii="Times New Roman" w:hAnsi="Times New Roman" w:cs="Times New Roman"/>
          <w:sz w:val="24"/>
          <w:szCs w:val="24"/>
        </w:rPr>
        <w:t>adných a stredných škôl</w:t>
      </w:r>
      <w:r w:rsidRPr="000A71A6">
        <w:rPr>
          <w:rFonts w:ascii="Times New Roman" w:hAnsi="Times New Roman" w:cs="Times New Roman"/>
          <w:sz w:val="24"/>
          <w:szCs w:val="24"/>
        </w:rPr>
        <w:t xml:space="preserve"> je </w:t>
      </w:r>
      <w:r w:rsidRPr="000A71A6">
        <w:rPr>
          <w:rFonts w:ascii="Times New Roman" w:hAnsi="Times New Roman" w:cs="Times New Roman"/>
          <w:b/>
          <w:sz w:val="24"/>
          <w:szCs w:val="24"/>
        </w:rPr>
        <w:t>spokojná so súčasným priestorom</w:t>
      </w:r>
      <w:r w:rsidRPr="000A71A6">
        <w:rPr>
          <w:rFonts w:ascii="Times New Roman" w:hAnsi="Times New Roman" w:cs="Times New Roman"/>
          <w:sz w:val="24"/>
          <w:szCs w:val="24"/>
        </w:rPr>
        <w:t xml:space="preserve"> pre ľudské práva v osnovách školy, až 44,2 % je presvedčených, že problematike by mal byť venovaný </w:t>
      </w:r>
      <w:r w:rsidRPr="000A71A6">
        <w:rPr>
          <w:rFonts w:ascii="Times New Roman" w:hAnsi="Times New Roman" w:cs="Times New Roman"/>
          <w:b/>
          <w:sz w:val="24"/>
          <w:szCs w:val="24"/>
        </w:rPr>
        <w:t>väčší priestor</w:t>
      </w:r>
      <w:r w:rsidRPr="000A71A6">
        <w:rPr>
          <w:rFonts w:ascii="Times New Roman" w:hAnsi="Times New Roman" w:cs="Times New Roman"/>
          <w:sz w:val="24"/>
          <w:szCs w:val="24"/>
        </w:rPr>
        <w:t xml:space="preserve"> než je to v súčasnosti. Je teda zrejmé, že takmer každý druhý učiteľ vyučujúci predmety s</w:t>
      </w:r>
      <w:r w:rsidR="005213FF">
        <w:rPr>
          <w:rFonts w:ascii="Times New Roman" w:hAnsi="Times New Roman" w:cs="Times New Roman"/>
          <w:sz w:val="24"/>
          <w:szCs w:val="24"/>
        </w:rPr>
        <w:t> témami</w:t>
      </w:r>
      <w:r w:rsidRPr="000A71A6">
        <w:rPr>
          <w:rFonts w:ascii="Times New Roman" w:hAnsi="Times New Roman" w:cs="Times New Roman"/>
          <w:sz w:val="24"/>
          <w:szCs w:val="24"/>
        </w:rPr>
        <w:t xml:space="preserve"> ľudských práv vníma vymedzený priestor ako nedostatočný a privítal by možnosť zvýšenia hodinovej dotácie pre výučbu </w:t>
      </w:r>
      <w:r w:rsidRPr="000A71A6">
        <w:rPr>
          <w:rFonts w:ascii="Times New Roman" w:hAnsi="Times New Roman" w:cs="Times New Roman"/>
          <w:sz w:val="24"/>
          <w:szCs w:val="24"/>
        </w:rPr>
        <w:lastRenderedPageBreak/>
        <w:t xml:space="preserve">ľudských práv v školách. Len 15 učiteľov, t. j. 4,2 %, pričom uvedené percento oproti predchádzajúcim zisteniam mierne stúpa, prezentovalo názor, že problematike ľudských práv by sa malo v školách venovať </w:t>
      </w:r>
      <w:r w:rsidRPr="000A71A6">
        <w:rPr>
          <w:rFonts w:ascii="Times New Roman" w:hAnsi="Times New Roman" w:cs="Times New Roman"/>
          <w:b/>
          <w:sz w:val="24"/>
          <w:szCs w:val="24"/>
        </w:rPr>
        <w:t xml:space="preserve">menej času </w:t>
      </w:r>
      <w:r w:rsidRPr="000A71A6">
        <w:rPr>
          <w:rFonts w:ascii="Times New Roman" w:hAnsi="Times New Roman" w:cs="Times New Roman"/>
          <w:sz w:val="24"/>
          <w:szCs w:val="24"/>
        </w:rPr>
        <w:t>a zvýšiť tak priestor pre iné predmety. Súvisí to so stále narastajúcim objemom poznatkov vo všetkých oblastiach života.</w:t>
      </w:r>
      <w:r w:rsidRPr="000A71A6">
        <w:rPr>
          <w:rFonts w:ascii="Times New Roman" w:hAnsi="Times New Roman" w:cs="Times New Roman"/>
          <w:b/>
          <w:sz w:val="24"/>
          <w:szCs w:val="24"/>
        </w:rPr>
        <w:t xml:space="preserve">         </w:t>
      </w:r>
    </w:p>
    <w:p w:rsidR="000A71A6" w:rsidRPr="000A71A6" w:rsidRDefault="000A71A6" w:rsidP="000A71A6">
      <w:pPr>
        <w:spacing w:after="120" w:line="240" w:lineRule="auto"/>
        <w:rPr>
          <w:rFonts w:ascii="Times New Roman" w:hAnsi="Times New Roman" w:cs="Times New Roman"/>
          <w:b/>
          <w:sz w:val="20"/>
          <w:szCs w:val="20"/>
        </w:rPr>
      </w:pPr>
      <w:r w:rsidRPr="000A71A6">
        <w:rPr>
          <w:rFonts w:ascii="Times New Roman" w:hAnsi="Times New Roman" w:cs="Times New Roman"/>
          <w:b/>
          <w:sz w:val="20"/>
          <w:szCs w:val="20"/>
        </w:rPr>
        <w:t xml:space="preserve">Graf 4 Priestor pre problematiku ľudských práv v školách </w:t>
      </w:r>
    </w:p>
    <w:p w:rsidR="000A71A6" w:rsidRPr="000A71A6" w:rsidRDefault="000A71A6" w:rsidP="000A71A6">
      <w:pPr>
        <w:spacing w:after="0" w:line="240" w:lineRule="auto"/>
        <w:rPr>
          <w:rFonts w:ascii="Times New Roman" w:hAnsi="Times New Roman" w:cs="Times New Roman"/>
          <w:b/>
          <w:sz w:val="24"/>
          <w:szCs w:val="24"/>
        </w:rPr>
      </w:pPr>
      <w:r w:rsidRPr="000A71A6">
        <w:rPr>
          <w:rFonts w:ascii="Times New Roman" w:hAnsi="Times New Roman" w:cs="Times New Roman"/>
          <w:b/>
          <w:noProof/>
          <w:sz w:val="24"/>
          <w:szCs w:val="24"/>
          <w:lang w:eastAsia="sk-SK"/>
        </w:rPr>
        <w:drawing>
          <wp:inline distT="0" distB="0" distL="0" distR="0" wp14:anchorId="5DCC7CDF" wp14:editId="08DF69CE">
            <wp:extent cx="5707380" cy="1188720"/>
            <wp:effectExtent l="0" t="0" r="0" b="0"/>
            <wp:docPr id="6" name="Graf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71A6" w:rsidRDefault="000A71A6" w:rsidP="000A71A6">
      <w:pPr>
        <w:spacing w:after="0" w:line="240" w:lineRule="auto"/>
        <w:jc w:val="both"/>
        <w:rPr>
          <w:rFonts w:ascii="Times New Roman" w:hAnsi="Times New Roman" w:cs="Times New Roman"/>
          <w:sz w:val="24"/>
          <w:szCs w:val="24"/>
        </w:rPr>
      </w:pPr>
    </w:p>
    <w:p w:rsidR="000A71A6" w:rsidRPr="000A71A6" w:rsidRDefault="000A71A6" w:rsidP="000A71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0A71A6">
        <w:rPr>
          <w:rFonts w:ascii="Times New Roman" w:hAnsi="Times New Roman" w:cs="Times New Roman"/>
          <w:sz w:val="24"/>
          <w:szCs w:val="24"/>
        </w:rPr>
        <w:t> pedagogickej obci celkovo prevláda spokojnosť so súčasným rozsahom výučby ľudských práv v škole. Až 55 % skúmaných učiteľov základných a 48,2 % stredných škôl je presvedčených, že problematika ľudských práv by mala mať vo vzdelávacom programe rovnaké zastúpenie ako je to v súčasnosti, pričom výraznejšie sa spokojnosť prejavuje u učiteľov základných škôl. Ne</w:t>
      </w:r>
      <w:r w:rsidR="00744108">
        <w:rPr>
          <w:rFonts w:ascii="Times New Roman" w:hAnsi="Times New Roman" w:cs="Times New Roman"/>
          <w:sz w:val="24"/>
          <w:szCs w:val="24"/>
        </w:rPr>
        <w:t xml:space="preserve">celá polovica oslovených </w:t>
      </w:r>
      <w:r w:rsidRPr="000A71A6">
        <w:rPr>
          <w:rFonts w:ascii="Times New Roman" w:hAnsi="Times New Roman" w:cs="Times New Roman"/>
          <w:sz w:val="24"/>
          <w:szCs w:val="24"/>
        </w:rPr>
        <w:t xml:space="preserve"> však požaduje väčší časový priestor a len nepatrné percento sa zasadzuje za jeho zníženie. Ide najmä o stredoškolských ped</w:t>
      </w:r>
      <w:r w:rsidR="00744108">
        <w:rPr>
          <w:rFonts w:ascii="Times New Roman" w:hAnsi="Times New Roman" w:cs="Times New Roman"/>
          <w:sz w:val="24"/>
          <w:szCs w:val="24"/>
        </w:rPr>
        <w:t>agógov</w:t>
      </w:r>
      <w:r w:rsidRPr="000A71A6">
        <w:rPr>
          <w:rFonts w:ascii="Times New Roman" w:hAnsi="Times New Roman" w:cs="Times New Roman"/>
          <w:sz w:val="24"/>
          <w:szCs w:val="24"/>
        </w:rPr>
        <w:t xml:space="preserve">, zdôvodňujúc názory preťaženosťou žiakov, ako aj potrebou venovať čas iným predmetom a témam. </w:t>
      </w:r>
    </w:p>
    <w:p w:rsidR="000A71A6" w:rsidRPr="000A71A6" w:rsidRDefault="000A71A6" w:rsidP="000A71A6">
      <w:pPr>
        <w:spacing w:after="0" w:line="240" w:lineRule="auto"/>
        <w:jc w:val="both"/>
        <w:rPr>
          <w:rFonts w:ascii="Times New Roman" w:hAnsi="Times New Roman" w:cs="Times New Roman"/>
          <w:b/>
          <w:color w:val="FF0000"/>
          <w:sz w:val="24"/>
          <w:szCs w:val="24"/>
        </w:rPr>
      </w:pPr>
    </w:p>
    <w:p w:rsidR="000A71A6" w:rsidRPr="000A71A6" w:rsidRDefault="000A71A6" w:rsidP="001B0718">
      <w:pPr>
        <w:spacing w:after="120" w:line="240" w:lineRule="auto"/>
        <w:jc w:val="both"/>
        <w:rPr>
          <w:rFonts w:ascii="Times New Roman" w:hAnsi="Times New Roman" w:cs="Times New Roman"/>
          <w:sz w:val="24"/>
          <w:szCs w:val="24"/>
        </w:rPr>
      </w:pPr>
      <w:r w:rsidRPr="000A71A6">
        <w:rPr>
          <w:rFonts w:ascii="Times New Roman" w:hAnsi="Times New Roman" w:cs="Times New Roman"/>
          <w:b/>
          <w:sz w:val="24"/>
          <w:szCs w:val="24"/>
        </w:rPr>
        <w:t>Údaje za skúmané obdobie</w:t>
      </w:r>
      <w:r w:rsidRPr="000A71A6">
        <w:rPr>
          <w:rFonts w:ascii="Times New Roman" w:hAnsi="Times New Roman" w:cs="Times New Roman"/>
          <w:sz w:val="24"/>
          <w:szCs w:val="24"/>
        </w:rPr>
        <w:t xml:space="preserve"> </w:t>
      </w:r>
      <w:r w:rsidRPr="000A71A6">
        <w:rPr>
          <w:rFonts w:ascii="Times New Roman" w:hAnsi="Times New Roman" w:cs="Times New Roman"/>
          <w:b/>
          <w:sz w:val="24"/>
          <w:szCs w:val="24"/>
        </w:rPr>
        <w:t>rokov 2005 až 2015</w:t>
      </w:r>
      <w:r w:rsidRPr="000A71A6">
        <w:rPr>
          <w:rFonts w:ascii="Times New Roman" w:hAnsi="Times New Roman" w:cs="Times New Roman"/>
          <w:sz w:val="24"/>
          <w:szCs w:val="24"/>
        </w:rPr>
        <w:t xml:space="preserve"> na jednej strane dokumentujú spokojnosť pedagógov s priestorom venovanom ľudským právam v rámci školského vzdelávania, na druhej strane približne rovnaké percento oslovených vyjadrovalo nespokojnosť a poukazovalo na potrebu zvýšenia priestoru pre výučbu ľudských práv. Nestále </w:t>
      </w:r>
      <w:r w:rsidR="001B0718">
        <w:rPr>
          <w:rFonts w:ascii="Times New Roman" w:hAnsi="Times New Roman" w:cs="Times New Roman"/>
          <w:sz w:val="24"/>
          <w:szCs w:val="24"/>
        </w:rPr>
        <w:t>sa znižuje</w:t>
      </w:r>
      <w:r w:rsidRPr="000A71A6">
        <w:rPr>
          <w:rFonts w:ascii="Times New Roman" w:hAnsi="Times New Roman" w:cs="Times New Roman"/>
          <w:sz w:val="24"/>
          <w:szCs w:val="24"/>
        </w:rPr>
        <w:t xml:space="preserve"> počet učiteľov, ktorí požadujú väčšiu časovú dotáciu pre výučbu ľudsk</w:t>
      </w:r>
      <w:r w:rsidR="001B0718">
        <w:rPr>
          <w:rFonts w:ascii="Times New Roman" w:hAnsi="Times New Roman" w:cs="Times New Roman"/>
          <w:sz w:val="24"/>
          <w:szCs w:val="24"/>
        </w:rPr>
        <w:t xml:space="preserve">ých práv, naopak stúpa </w:t>
      </w:r>
      <w:r w:rsidRPr="000A71A6">
        <w:rPr>
          <w:rFonts w:ascii="Times New Roman" w:hAnsi="Times New Roman" w:cs="Times New Roman"/>
          <w:sz w:val="24"/>
          <w:szCs w:val="24"/>
        </w:rPr>
        <w:t xml:space="preserve"> percento tých, ktorí deklarujú, že problematike by sa mal venovať rovnaký priestor ako je už vyčlenený. Súčasne zaznamenávame neustále stúpajúci trend v požiadavkách na zníženie času pre výučbu p</w:t>
      </w:r>
      <w:r w:rsidR="001B0718">
        <w:rPr>
          <w:rFonts w:ascii="Times New Roman" w:hAnsi="Times New Roman" w:cs="Times New Roman"/>
          <w:sz w:val="24"/>
          <w:szCs w:val="24"/>
        </w:rPr>
        <w:t>redmetnej problematiky</w:t>
      </w:r>
      <w:r w:rsidRPr="000A71A6">
        <w:rPr>
          <w:rFonts w:ascii="Times New Roman" w:hAnsi="Times New Roman" w:cs="Times New Roman"/>
          <w:sz w:val="24"/>
          <w:szCs w:val="24"/>
        </w:rPr>
        <w:t xml:space="preserve">. </w:t>
      </w:r>
      <w:r w:rsidR="001B0718">
        <w:rPr>
          <w:rFonts w:ascii="Times New Roman" w:hAnsi="Times New Roman" w:cs="Times New Roman"/>
          <w:sz w:val="24"/>
          <w:szCs w:val="24"/>
        </w:rPr>
        <w:t>Výsledky dokumentuje tabuľka</w:t>
      </w:r>
      <w:r w:rsidR="00744108">
        <w:rPr>
          <w:rFonts w:ascii="Times New Roman" w:hAnsi="Times New Roman" w:cs="Times New Roman"/>
          <w:sz w:val="24"/>
          <w:szCs w:val="24"/>
        </w:rPr>
        <w:t xml:space="preserve"> 3</w:t>
      </w:r>
      <w:r w:rsidR="001B0718">
        <w:rPr>
          <w:rFonts w:ascii="Times New Roman" w:hAnsi="Times New Roman" w:cs="Times New Roman"/>
          <w:sz w:val="24"/>
          <w:szCs w:val="24"/>
        </w:rPr>
        <w:t>.</w:t>
      </w:r>
    </w:p>
    <w:p w:rsidR="000A71A6" w:rsidRPr="000A71A6" w:rsidRDefault="000A71A6" w:rsidP="000A71A6">
      <w:pPr>
        <w:spacing w:after="0" w:line="240" w:lineRule="auto"/>
        <w:rPr>
          <w:rFonts w:ascii="Times New Roman" w:hAnsi="Times New Roman" w:cs="Times New Roman"/>
          <w:b/>
          <w:sz w:val="20"/>
          <w:szCs w:val="20"/>
        </w:rPr>
      </w:pPr>
      <w:r w:rsidRPr="000A71A6">
        <w:rPr>
          <w:rFonts w:ascii="Times New Roman" w:hAnsi="Times New Roman" w:cs="Times New Roman"/>
          <w:b/>
          <w:sz w:val="20"/>
          <w:szCs w:val="20"/>
        </w:rPr>
        <w:t xml:space="preserve">Tabuľka </w:t>
      </w:r>
      <w:r w:rsidR="00FE5BEE">
        <w:rPr>
          <w:rFonts w:ascii="Times New Roman" w:hAnsi="Times New Roman" w:cs="Times New Roman"/>
          <w:b/>
          <w:sz w:val="20"/>
          <w:szCs w:val="20"/>
        </w:rPr>
        <w:t>3</w:t>
      </w:r>
      <w:r w:rsidRPr="000A71A6">
        <w:rPr>
          <w:rFonts w:ascii="Times New Roman" w:hAnsi="Times New Roman" w:cs="Times New Roman"/>
          <w:b/>
          <w:sz w:val="20"/>
          <w:szCs w:val="20"/>
        </w:rPr>
        <w:t xml:space="preserve"> Priestor pre problematiku ľudských práv – porovnanie údajov (v %)</w:t>
      </w:r>
    </w:p>
    <w:tbl>
      <w:tblPr>
        <w:tblW w:w="9146" w:type="dxa"/>
        <w:tblInd w:w="65" w:type="dxa"/>
        <w:tblCellMar>
          <w:left w:w="70" w:type="dxa"/>
          <w:right w:w="70" w:type="dxa"/>
        </w:tblCellMar>
        <w:tblLook w:val="0000" w:firstRow="0" w:lastRow="0" w:firstColumn="0" w:lastColumn="0" w:noHBand="0" w:noVBand="0"/>
      </w:tblPr>
      <w:tblGrid>
        <w:gridCol w:w="2958"/>
        <w:gridCol w:w="1356"/>
        <w:gridCol w:w="1238"/>
        <w:gridCol w:w="1239"/>
        <w:gridCol w:w="1239"/>
        <w:gridCol w:w="1116"/>
      </w:tblGrid>
      <w:tr w:rsidR="000A71A6" w:rsidRPr="000A71A6" w:rsidTr="00744108">
        <w:trPr>
          <w:trHeight w:val="149"/>
        </w:trPr>
        <w:tc>
          <w:tcPr>
            <w:tcW w:w="2958" w:type="dxa"/>
            <w:tcBorders>
              <w:top w:val="single" w:sz="4" w:space="0" w:color="auto"/>
              <w:left w:val="single" w:sz="4" w:space="0" w:color="auto"/>
              <w:bottom w:val="single" w:sz="4" w:space="0" w:color="auto"/>
              <w:right w:val="single" w:sz="4" w:space="0" w:color="auto"/>
            </w:tcBorders>
            <w:shd w:val="clear" w:color="auto" w:fill="B8CCE4"/>
            <w:noWrap/>
            <w:vAlign w:val="bottom"/>
          </w:tcPr>
          <w:p w:rsidR="000A71A6" w:rsidRPr="00E20FEF" w:rsidRDefault="000A71A6" w:rsidP="000A71A6">
            <w:pPr>
              <w:spacing w:after="0" w:line="240" w:lineRule="auto"/>
              <w:rPr>
                <w:rFonts w:ascii="Times New Roman" w:hAnsi="Times New Roman" w:cs="Times New Roman"/>
                <w:sz w:val="20"/>
                <w:szCs w:val="20"/>
                <w:lang w:eastAsia="cs-CZ"/>
              </w:rPr>
            </w:pPr>
            <w:r w:rsidRPr="00E20FEF">
              <w:rPr>
                <w:rFonts w:ascii="Times New Roman" w:hAnsi="Times New Roman" w:cs="Times New Roman"/>
                <w:sz w:val="20"/>
                <w:szCs w:val="20"/>
                <w:lang w:eastAsia="cs-CZ"/>
              </w:rPr>
              <w:t> </w:t>
            </w:r>
          </w:p>
        </w:tc>
        <w:tc>
          <w:tcPr>
            <w:tcW w:w="1356" w:type="dxa"/>
            <w:tcBorders>
              <w:top w:val="single" w:sz="4" w:space="0" w:color="auto"/>
              <w:left w:val="nil"/>
              <w:bottom w:val="single" w:sz="4" w:space="0" w:color="auto"/>
              <w:right w:val="single" w:sz="4" w:space="0" w:color="auto"/>
            </w:tcBorders>
            <w:shd w:val="clear" w:color="auto" w:fill="B8CCE4"/>
            <w:vAlign w:val="center"/>
          </w:tcPr>
          <w:p w:rsidR="000A71A6" w:rsidRPr="00E20FEF" w:rsidRDefault="000A71A6" w:rsidP="000A71A6">
            <w:pPr>
              <w:spacing w:after="0" w:line="240" w:lineRule="auto"/>
              <w:jc w:val="center"/>
              <w:rPr>
                <w:rFonts w:ascii="Times New Roman" w:hAnsi="Times New Roman" w:cs="Times New Roman"/>
                <w:b/>
                <w:sz w:val="20"/>
                <w:szCs w:val="20"/>
                <w:lang w:eastAsia="cs-CZ"/>
              </w:rPr>
            </w:pPr>
            <w:r w:rsidRPr="00E20FEF">
              <w:rPr>
                <w:rFonts w:ascii="Times New Roman" w:hAnsi="Times New Roman" w:cs="Times New Roman"/>
                <w:b/>
                <w:sz w:val="20"/>
                <w:szCs w:val="20"/>
                <w:lang w:eastAsia="cs-CZ"/>
              </w:rPr>
              <w:t>2005</w:t>
            </w:r>
          </w:p>
        </w:tc>
        <w:tc>
          <w:tcPr>
            <w:tcW w:w="1238" w:type="dxa"/>
            <w:tcBorders>
              <w:top w:val="single" w:sz="4" w:space="0" w:color="auto"/>
              <w:left w:val="single" w:sz="4" w:space="0" w:color="auto"/>
              <w:bottom w:val="single" w:sz="4" w:space="0" w:color="auto"/>
              <w:right w:val="single" w:sz="4" w:space="0" w:color="auto"/>
            </w:tcBorders>
            <w:shd w:val="clear" w:color="auto" w:fill="B8CCE4"/>
            <w:vAlign w:val="bottom"/>
          </w:tcPr>
          <w:p w:rsidR="000A71A6" w:rsidRPr="00E20FEF" w:rsidRDefault="000A71A6" w:rsidP="000A71A6">
            <w:pPr>
              <w:spacing w:after="0" w:line="240" w:lineRule="auto"/>
              <w:jc w:val="center"/>
              <w:rPr>
                <w:rFonts w:ascii="Times New Roman" w:hAnsi="Times New Roman" w:cs="Times New Roman"/>
                <w:b/>
                <w:sz w:val="20"/>
                <w:szCs w:val="20"/>
                <w:lang w:eastAsia="cs-CZ"/>
              </w:rPr>
            </w:pPr>
            <w:r w:rsidRPr="00E20FEF">
              <w:rPr>
                <w:rFonts w:ascii="Times New Roman" w:hAnsi="Times New Roman" w:cs="Times New Roman"/>
                <w:b/>
                <w:sz w:val="20"/>
                <w:szCs w:val="20"/>
                <w:lang w:eastAsia="cs-CZ"/>
              </w:rPr>
              <w:t>2008</w:t>
            </w:r>
          </w:p>
        </w:tc>
        <w:tc>
          <w:tcPr>
            <w:tcW w:w="1239" w:type="dxa"/>
            <w:tcBorders>
              <w:top w:val="single" w:sz="4" w:space="0" w:color="auto"/>
              <w:left w:val="single" w:sz="4" w:space="0" w:color="auto"/>
              <w:bottom w:val="single" w:sz="4" w:space="0" w:color="auto"/>
              <w:right w:val="single" w:sz="4" w:space="0" w:color="auto"/>
            </w:tcBorders>
            <w:shd w:val="clear" w:color="auto" w:fill="B8CCE4"/>
            <w:vAlign w:val="bottom"/>
          </w:tcPr>
          <w:p w:rsidR="000A71A6" w:rsidRPr="00E20FEF" w:rsidRDefault="000A71A6" w:rsidP="000A71A6">
            <w:pPr>
              <w:spacing w:after="0" w:line="240" w:lineRule="auto"/>
              <w:jc w:val="center"/>
              <w:rPr>
                <w:rFonts w:ascii="Times New Roman" w:hAnsi="Times New Roman" w:cs="Times New Roman"/>
                <w:b/>
                <w:sz w:val="20"/>
                <w:szCs w:val="20"/>
                <w:lang w:eastAsia="cs-CZ"/>
              </w:rPr>
            </w:pPr>
            <w:r w:rsidRPr="00E20FEF">
              <w:rPr>
                <w:rFonts w:ascii="Times New Roman" w:hAnsi="Times New Roman" w:cs="Times New Roman"/>
                <w:b/>
                <w:sz w:val="20"/>
                <w:szCs w:val="20"/>
                <w:lang w:eastAsia="cs-CZ"/>
              </w:rPr>
              <w:t>2011</w:t>
            </w:r>
          </w:p>
        </w:tc>
        <w:tc>
          <w:tcPr>
            <w:tcW w:w="1239" w:type="dxa"/>
            <w:tcBorders>
              <w:top w:val="single" w:sz="4" w:space="0" w:color="auto"/>
              <w:left w:val="single" w:sz="4" w:space="0" w:color="auto"/>
              <w:bottom w:val="single" w:sz="4" w:space="0" w:color="auto"/>
              <w:right w:val="single" w:sz="4" w:space="0" w:color="auto"/>
            </w:tcBorders>
            <w:shd w:val="clear" w:color="auto" w:fill="B8CCE4"/>
            <w:vAlign w:val="bottom"/>
          </w:tcPr>
          <w:p w:rsidR="000A71A6" w:rsidRPr="00E20FEF" w:rsidRDefault="000A71A6" w:rsidP="000A71A6">
            <w:pPr>
              <w:spacing w:after="0" w:line="240" w:lineRule="auto"/>
              <w:jc w:val="center"/>
              <w:rPr>
                <w:rFonts w:ascii="Times New Roman" w:hAnsi="Times New Roman" w:cs="Times New Roman"/>
                <w:b/>
                <w:sz w:val="20"/>
                <w:szCs w:val="20"/>
                <w:lang w:eastAsia="cs-CZ"/>
              </w:rPr>
            </w:pPr>
            <w:r w:rsidRPr="00E20FEF">
              <w:rPr>
                <w:rFonts w:ascii="Times New Roman" w:hAnsi="Times New Roman" w:cs="Times New Roman"/>
                <w:b/>
                <w:sz w:val="20"/>
                <w:szCs w:val="20"/>
                <w:lang w:eastAsia="cs-CZ"/>
              </w:rPr>
              <w:t>2013</w:t>
            </w:r>
          </w:p>
        </w:tc>
        <w:tc>
          <w:tcPr>
            <w:tcW w:w="1116" w:type="dxa"/>
            <w:tcBorders>
              <w:top w:val="single" w:sz="4" w:space="0" w:color="auto"/>
              <w:left w:val="single" w:sz="4" w:space="0" w:color="auto"/>
              <w:bottom w:val="single" w:sz="4" w:space="0" w:color="auto"/>
              <w:right w:val="single" w:sz="4" w:space="0" w:color="auto"/>
            </w:tcBorders>
            <w:shd w:val="clear" w:color="auto" w:fill="B8CCE4"/>
          </w:tcPr>
          <w:p w:rsidR="000A71A6" w:rsidRPr="00E20FEF" w:rsidRDefault="000A71A6" w:rsidP="000A71A6">
            <w:pPr>
              <w:spacing w:after="0" w:line="240" w:lineRule="auto"/>
              <w:jc w:val="center"/>
              <w:rPr>
                <w:rFonts w:ascii="Times New Roman" w:hAnsi="Times New Roman" w:cs="Times New Roman"/>
                <w:b/>
                <w:sz w:val="20"/>
                <w:szCs w:val="20"/>
                <w:lang w:eastAsia="cs-CZ"/>
              </w:rPr>
            </w:pPr>
            <w:r w:rsidRPr="00E20FEF">
              <w:rPr>
                <w:rFonts w:ascii="Times New Roman" w:hAnsi="Times New Roman" w:cs="Times New Roman"/>
                <w:b/>
                <w:sz w:val="20"/>
                <w:szCs w:val="20"/>
                <w:lang w:eastAsia="cs-CZ"/>
              </w:rPr>
              <w:t>2015</w:t>
            </w:r>
          </w:p>
        </w:tc>
      </w:tr>
      <w:tr w:rsidR="000A71A6" w:rsidRPr="000A71A6" w:rsidTr="00744108">
        <w:trPr>
          <w:trHeight w:val="201"/>
        </w:trPr>
        <w:tc>
          <w:tcPr>
            <w:tcW w:w="29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71A6" w:rsidRPr="000A71A6" w:rsidRDefault="000A71A6" w:rsidP="000A71A6">
            <w:pPr>
              <w:spacing w:after="0" w:line="240" w:lineRule="auto"/>
              <w:rPr>
                <w:rFonts w:ascii="Times New Roman" w:hAnsi="Times New Roman" w:cs="Times New Roman"/>
                <w:sz w:val="20"/>
                <w:szCs w:val="20"/>
                <w:lang w:eastAsia="cs-CZ"/>
              </w:rPr>
            </w:pPr>
            <w:r w:rsidRPr="000A71A6">
              <w:rPr>
                <w:rFonts w:ascii="Times New Roman" w:hAnsi="Times New Roman" w:cs="Times New Roman"/>
                <w:sz w:val="20"/>
                <w:szCs w:val="20"/>
                <w:lang w:eastAsia="cs-CZ"/>
              </w:rPr>
              <w:t>je potrebný väčší priestor</w:t>
            </w:r>
          </w:p>
        </w:tc>
        <w:tc>
          <w:tcPr>
            <w:tcW w:w="1356" w:type="dxa"/>
            <w:tcBorders>
              <w:top w:val="single" w:sz="4" w:space="0" w:color="auto"/>
              <w:left w:val="nil"/>
              <w:bottom w:val="single" w:sz="4" w:space="0" w:color="auto"/>
              <w:right w:val="single" w:sz="4" w:space="0" w:color="auto"/>
            </w:tcBorders>
            <w:shd w:val="clear" w:color="auto" w:fill="FFFFFF"/>
            <w:vAlign w:val="center"/>
          </w:tcPr>
          <w:p w:rsidR="000A71A6" w:rsidRPr="000A71A6" w:rsidRDefault="000A71A6" w:rsidP="000A71A6">
            <w:pPr>
              <w:spacing w:after="0" w:line="240" w:lineRule="auto"/>
              <w:jc w:val="center"/>
              <w:rPr>
                <w:rFonts w:ascii="Times New Roman" w:hAnsi="Times New Roman" w:cs="Times New Roman"/>
                <w:i/>
                <w:sz w:val="20"/>
                <w:szCs w:val="20"/>
                <w:lang w:eastAsia="cs-CZ"/>
              </w:rPr>
            </w:pPr>
            <w:r w:rsidRPr="000A71A6">
              <w:rPr>
                <w:rFonts w:ascii="Times New Roman" w:hAnsi="Times New Roman" w:cs="Times New Roman"/>
                <w:i/>
                <w:sz w:val="20"/>
                <w:szCs w:val="20"/>
                <w:lang w:eastAsia="cs-CZ"/>
              </w:rPr>
              <w:t>58,7</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56,9</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54,7</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44,1</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44,2</w:t>
            </w:r>
          </w:p>
        </w:tc>
      </w:tr>
      <w:tr w:rsidR="000A71A6" w:rsidRPr="000A71A6" w:rsidTr="00744108">
        <w:trPr>
          <w:trHeight w:val="253"/>
        </w:trPr>
        <w:tc>
          <w:tcPr>
            <w:tcW w:w="29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71A6" w:rsidRPr="000A71A6" w:rsidRDefault="000A71A6" w:rsidP="000A71A6">
            <w:pPr>
              <w:spacing w:after="0" w:line="240" w:lineRule="auto"/>
              <w:rPr>
                <w:rFonts w:ascii="Times New Roman" w:hAnsi="Times New Roman" w:cs="Times New Roman"/>
                <w:sz w:val="20"/>
                <w:szCs w:val="20"/>
                <w:lang w:eastAsia="cs-CZ"/>
              </w:rPr>
            </w:pPr>
            <w:r w:rsidRPr="000A71A6">
              <w:rPr>
                <w:rFonts w:ascii="Times New Roman" w:hAnsi="Times New Roman" w:cs="Times New Roman"/>
                <w:sz w:val="20"/>
                <w:szCs w:val="20"/>
                <w:lang w:eastAsia="cs-CZ"/>
              </w:rPr>
              <w:t>rovnaký ako v súčasnosti</w:t>
            </w:r>
          </w:p>
        </w:tc>
        <w:tc>
          <w:tcPr>
            <w:tcW w:w="1356" w:type="dxa"/>
            <w:tcBorders>
              <w:top w:val="single" w:sz="4" w:space="0" w:color="auto"/>
              <w:left w:val="nil"/>
              <w:bottom w:val="single" w:sz="4" w:space="0" w:color="auto"/>
              <w:right w:val="single" w:sz="4" w:space="0" w:color="auto"/>
            </w:tcBorders>
            <w:shd w:val="clear" w:color="auto" w:fill="FFFFFF"/>
            <w:vAlign w:val="center"/>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40,5</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42,1</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43,7</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52,1</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51,7</w:t>
            </w:r>
          </w:p>
        </w:tc>
      </w:tr>
      <w:tr w:rsidR="000A71A6" w:rsidRPr="000A71A6" w:rsidTr="00744108">
        <w:trPr>
          <w:trHeight w:val="129"/>
        </w:trPr>
        <w:tc>
          <w:tcPr>
            <w:tcW w:w="29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71A6" w:rsidRPr="000A71A6" w:rsidRDefault="000A71A6" w:rsidP="000A71A6">
            <w:pPr>
              <w:spacing w:after="0" w:line="240" w:lineRule="auto"/>
              <w:rPr>
                <w:rFonts w:ascii="Times New Roman" w:hAnsi="Times New Roman" w:cs="Times New Roman"/>
                <w:sz w:val="20"/>
                <w:szCs w:val="20"/>
                <w:lang w:eastAsia="cs-CZ"/>
              </w:rPr>
            </w:pPr>
            <w:r w:rsidRPr="000A71A6">
              <w:rPr>
                <w:rFonts w:ascii="Times New Roman" w:hAnsi="Times New Roman" w:cs="Times New Roman"/>
                <w:sz w:val="20"/>
                <w:szCs w:val="20"/>
                <w:lang w:eastAsia="cs-CZ"/>
              </w:rPr>
              <w:t>je potrebný menší priestor</w:t>
            </w:r>
          </w:p>
        </w:tc>
        <w:tc>
          <w:tcPr>
            <w:tcW w:w="1356" w:type="dxa"/>
            <w:tcBorders>
              <w:top w:val="single" w:sz="4" w:space="0" w:color="auto"/>
              <w:left w:val="nil"/>
              <w:bottom w:val="single" w:sz="4" w:space="0" w:color="auto"/>
              <w:right w:val="single" w:sz="4" w:space="0" w:color="auto"/>
            </w:tcBorders>
            <w:shd w:val="clear" w:color="auto" w:fill="FFFFFF"/>
            <w:vAlign w:val="center"/>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0,8</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1,0</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1,6</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3,8</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A71A6" w:rsidRPr="000A71A6" w:rsidRDefault="000A71A6" w:rsidP="000A71A6">
            <w:pPr>
              <w:spacing w:after="0" w:line="240" w:lineRule="auto"/>
              <w:jc w:val="center"/>
              <w:rPr>
                <w:rFonts w:ascii="Times New Roman" w:hAnsi="Times New Roman" w:cs="Times New Roman"/>
                <w:sz w:val="20"/>
                <w:szCs w:val="20"/>
                <w:lang w:eastAsia="cs-CZ"/>
              </w:rPr>
            </w:pPr>
            <w:r w:rsidRPr="000A71A6">
              <w:rPr>
                <w:rFonts w:ascii="Times New Roman" w:hAnsi="Times New Roman" w:cs="Times New Roman"/>
                <w:sz w:val="20"/>
                <w:szCs w:val="20"/>
                <w:lang w:eastAsia="cs-CZ"/>
              </w:rPr>
              <w:t>4,2</w:t>
            </w:r>
          </w:p>
        </w:tc>
      </w:tr>
    </w:tbl>
    <w:p w:rsidR="000A71A6" w:rsidRPr="000A71A6" w:rsidRDefault="000A71A6" w:rsidP="000A71A6">
      <w:pPr>
        <w:spacing w:after="0" w:line="240" w:lineRule="auto"/>
        <w:jc w:val="both"/>
        <w:rPr>
          <w:rFonts w:ascii="Times New Roman" w:hAnsi="Times New Roman" w:cs="Times New Roman"/>
          <w:color w:val="FF0000"/>
          <w:sz w:val="24"/>
          <w:szCs w:val="24"/>
        </w:rPr>
      </w:pPr>
    </w:p>
    <w:p w:rsidR="00E20FEF" w:rsidRDefault="00E20FEF" w:rsidP="000A71A6">
      <w:pPr>
        <w:spacing w:after="0" w:line="240" w:lineRule="auto"/>
        <w:rPr>
          <w:rFonts w:ascii="Times New Roman" w:hAnsi="Times New Roman" w:cs="Times New Roman"/>
          <w:b/>
          <w:sz w:val="20"/>
          <w:szCs w:val="20"/>
        </w:rPr>
      </w:pPr>
    </w:p>
    <w:p w:rsidR="001B0718" w:rsidRPr="000A71A6" w:rsidRDefault="000A71A6" w:rsidP="000A71A6">
      <w:pPr>
        <w:spacing w:after="0" w:line="240" w:lineRule="auto"/>
        <w:rPr>
          <w:rFonts w:ascii="Times New Roman" w:hAnsi="Times New Roman" w:cs="Times New Roman"/>
          <w:b/>
          <w:sz w:val="20"/>
          <w:szCs w:val="20"/>
        </w:rPr>
      </w:pPr>
      <w:r w:rsidRPr="000A71A6">
        <w:rPr>
          <w:rFonts w:ascii="Times New Roman" w:hAnsi="Times New Roman" w:cs="Times New Roman"/>
          <w:b/>
          <w:sz w:val="20"/>
          <w:szCs w:val="20"/>
        </w:rPr>
        <w:t>Graf 5 Priestor pre problematiku ľudských práv – porovnanie údajov (v %)</w:t>
      </w:r>
    </w:p>
    <w:p w:rsidR="000A71A6" w:rsidRPr="000A71A6" w:rsidRDefault="000A71A6" w:rsidP="000A71A6">
      <w:pPr>
        <w:pStyle w:val="Zkladntext3"/>
        <w:spacing w:after="0" w:line="240" w:lineRule="auto"/>
        <w:rPr>
          <w:rFonts w:ascii="Times New Roman" w:hAnsi="Times New Roman" w:cs="Times New Roman"/>
          <w:sz w:val="24"/>
          <w:szCs w:val="24"/>
        </w:rPr>
      </w:pPr>
      <w:r w:rsidRPr="000A71A6">
        <w:rPr>
          <w:rFonts w:ascii="Times New Roman" w:hAnsi="Times New Roman" w:cs="Times New Roman"/>
          <w:noProof/>
          <w:color w:val="FF0000"/>
          <w:sz w:val="24"/>
          <w:szCs w:val="24"/>
          <w:lang w:eastAsia="sk-SK"/>
        </w:rPr>
        <w:drawing>
          <wp:inline distT="0" distB="0" distL="0" distR="0" wp14:anchorId="7DEAC1CC" wp14:editId="3219B7A1">
            <wp:extent cx="5753100" cy="1577340"/>
            <wp:effectExtent l="0" t="0" r="0" b="3810"/>
            <wp:docPr id="5" name="Graf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71A6" w:rsidRPr="000A71A6" w:rsidRDefault="000A71A6" w:rsidP="000A71A6">
      <w:pPr>
        <w:pStyle w:val="Zkladntext3"/>
        <w:spacing w:after="0" w:line="240" w:lineRule="auto"/>
        <w:rPr>
          <w:rFonts w:ascii="Times New Roman" w:hAnsi="Times New Roman" w:cs="Times New Roman"/>
          <w:sz w:val="24"/>
          <w:szCs w:val="24"/>
        </w:rPr>
      </w:pPr>
    </w:p>
    <w:p w:rsidR="00FE5BEE" w:rsidRPr="00FE5BEE" w:rsidRDefault="00FE5BEE" w:rsidP="00FE5BEE">
      <w:pPr>
        <w:pStyle w:val="Nadpis3"/>
        <w:rPr>
          <w:szCs w:val="24"/>
        </w:rPr>
      </w:pPr>
      <w:bookmarkStart w:id="5" w:name="_Toc441149738"/>
      <w:r w:rsidRPr="00FE5BEE">
        <w:rPr>
          <w:szCs w:val="24"/>
        </w:rPr>
        <w:lastRenderedPageBreak/>
        <w:t>Vplyv výučby ľudských práv na postoje žiakov</w:t>
      </w:r>
      <w:bookmarkEnd w:id="5"/>
    </w:p>
    <w:p w:rsidR="00FE5BEE" w:rsidRPr="00FE5BEE" w:rsidRDefault="00FE5BEE" w:rsidP="00FE5BEE">
      <w:pPr>
        <w:spacing w:after="120" w:line="240" w:lineRule="auto"/>
        <w:jc w:val="both"/>
        <w:rPr>
          <w:rFonts w:ascii="Times New Roman" w:hAnsi="Times New Roman" w:cs="Times New Roman"/>
          <w:sz w:val="24"/>
          <w:szCs w:val="24"/>
        </w:rPr>
      </w:pPr>
      <w:r w:rsidRPr="00FE5BEE">
        <w:rPr>
          <w:rFonts w:ascii="Times New Roman" w:hAnsi="Times New Roman" w:cs="Times New Roman"/>
          <w:sz w:val="24"/>
          <w:szCs w:val="24"/>
        </w:rPr>
        <w:t>V názoroch učiteľov základných a stredných škôl sa zisťoval aj vplyv výučby ľudských práv na postoj</w:t>
      </w:r>
      <w:r w:rsidR="00744108">
        <w:rPr>
          <w:rFonts w:ascii="Times New Roman" w:hAnsi="Times New Roman" w:cs="Times New Roman"/>
          <w:sz w:val="24"/>
          <w:szCs w:val="24"/>
        </w:rPr>
        <w:t xml:space="preserve">e žiakov. </w:t>
      </w:r>
      <w:r w:rsidR="00744108" w:rsidRPr="00744108">
        <w:rPr>
          <w:rFonts w:ascii="Times New Roman" w:hAnsi="Times New Roman" w:cs="Times New Roman"/>
          <w:b/>
          <w:sz w:val="24"/>
          <w:szCs w:val="24"/>
        </w:rPr>
        <w:t>Z</w:t>
      </w:r>
      <w:r w:rsidRPr="00FE5BEE">
        <w:rPr>
          <w:rFonts w:ascii="Times New Roman" w:hAnsi="Times New Roman" w:cs="Times New Roman"/>
          <w:b/>
          <w:sz w:val="24"/>
          <w:szCs w:val="24"/>
        </w:rPr>
        <w:t>menu v postojoch</w:t>
      </w:r>
      <w:r w:rsidRPr="00FE5BEE">
        <w:rPr>
          <w:rFonts w:ascii="Times New Roman" w:hAnsi="Times New Roman" w:cs="Times New Roman"/>
          <w:sz w:val="24"/>
          <w:szCs w:val="24"/>
        </w:rPr>
        <w:t xml:space="preserve"> žiakov dôsledkom ich vzdelávania sa v oblasti ľudských práv spozorovalo 61,2 % oslovených učiteľov, pričom len 3,9 % (14 učiteľov) potvrdilo jednoznačný vplyv na žiakov. Zmenu v názoroch a postojoch žiakov vplyvom výučby k ľudským právam </w:t>
      </w:r>
      <w:r w:rsidRPr="00FE5BEE">
        <w:rPr>
          <w:rFonts w:ascii="Times New Roman" w:hAnsi="Times New Roman" w:cs="Times New Roman"/>
          <w:b/>
          <w:sz w:val="24"/>
          <w:szCs w:val="24"/>
        </w:rPr>
        <w:t>skôr nespozorovalo</w:t>
      </w:r>
      <w:r w:rsidRPr="00FE5BEE">
        <w:rPr>
          <w:rFonts w:ascii="Times New Roman" w:hAnsi="Times New Roman" w:cs="Times New Roman"/>
          <w:sz w:val="24"/>
          <w:szCs w:val="24"/>
        </w:rPr>
        <w:t xml:space="preserve">, </w:t>
      </w:r>
      <w:r w:rsidRPr="00FE5BEE">
        <w:rPr>
          <w:rFonts w:ascii="Times New Roman" w:hAnsi="Times New Roman" w:cs="Times New Roman"/>
          <w:b/>
          <w:sz w:val="24"/>
          <w:szCs w:val="24"/>
        </w:rPr>
        <w:t>ako spozorovalo</w:t>
      </w:r>
      <w:r w:rsidRPr="00FE5BEE">
        <w:rPr>
          <w:rFonts w:ascii="Times New Roman" w:hAnsi="Times New Roman" w:cs="Times New Roman"/>
          <w:sz w:val="24"/>
          <w:szCs w:val="24"/>
        </w:rPr>
        <w:t xml:space="preserve"> 88 (24,4 %) pedagógov a uvedené percento je identické ako v roku 2013. Pozitívne je, že odpoveď „</w:t>
      </w:r>
      <w:r w:rsidRPr="00FE5BEE">
        <w:rPr>
          <w:rFonts w:ascii="Times New Roman" w:hAnsi="Times New Roman" w:cs="Times New Roman"/>
          <w:b/>
          <w:sz w:val="24"/>
          <w:szCs w:val="24"/>
        </w:rPr>
        <w:t>určite nie</w:t>
      </w:r>
      <w:r w:rsidRPr="00FE5BEE">
        <w:rPr>
          <w:rFonts w:ascii="Times New Roman" w:hAnsi="Times New Roman" w:cs="Times New Roman"/>
          <w:sz w:val="24"/>
          <w:szCs w:val="24"/>
        </w:rPr>
        <w:t xml:space="preserve">“ (nespozoroval som žiadnu zmenu v názoroch, postojoch žiakov) volili len 4 učitelia (1,1 %) a percento sa oproti minulému zisťovaniu ešte znížilo. Problém </w:t>
      </w:r>
      <w:r w:rsidRPr="00FE5BEE">
        <w:rPr>
          <w:rFonts w:ascii="Times New Roman" w:hAnsi="Times New Roman" w:cs="Times New Roman"/>
          <w:b/>
          <w:sz w:val="24"/>
          <w:szCs w:val="24"/>
        </w:rPr>
        <w:t>nevedelo posúdiť</w:t>
      </w:r>
      <w:r w:rsidR="00744108">
        <w:rPr>
          <w:rFonts w:ascii="Times New Roman" w:hAnsi="Times New Roman" w:cs="Times New Roman"/>
          <w:sz w:val="24"/>
          <w:szCs w:val="24"/>
        </w:rPr>
        <w:t xml:space="preserve"> 48 učiteľov. </w:t>
      </w:r>
    </w:p>
    <w:p w:rsidR="00FE5BEE" w:rsidRPr="00FE5BEE" w:rsidRDefault="00FE5BEE" w:rsidP="00FE5BEE">
      <w:pPr>
        <w:pStyle w:val="Zkladntext3"/>
        <w:spacing w:after="0" w:line="240" w:lineRule="auto"/>
        <w:rPr>
          <w:rFonts w:ascii="Times New Roman" w:hAnsi="Times New Roman" w:cs="Times New Roman"/>
          <w:b/>
          <w:sz w:val="20"/>
          <w:szCs w:val="20"/>
        </w:rPr>
      </w:pPr>
      <w:r w:rsidRPr="00FE5BEE">
        <w:rPr>
          <w:rFonts w:ascii="Times New Roman" w:hAnsi="Times New Roman" w:cs="Times New Roman"/>
          <w:b/>
          <w:sz w:val="20"/>
          <w:szCs w:val="20"/>
        </w:rPr>
        <w:t>Graf</w:t>
      </w:r>
      <w:r w:rsidR="00A93009">
        <w:rPr>
          <w:rFonts w:ascii="Times New Roman" w:hAnsi="Times New Roman" w:cs="Times New Roman"/>
          <w:b/>
          <w:sz w:val="20"/>
          <w:szCs w:val="20"/>
        </w:rPr>
        <w:t xml:space="preserve"> 6</w:t>
      </w:r>
      <w:r w:rsidRPr="00FE5BEE">
        <w:rPr>
          <w:rFonts w:ascii="Times New Roman" w:hAnsi="Times New Roman" w:cs="Times New Roman"/>
          <w:b/>
          <w:sz w:val="20"/>
          <w:szCs w:val="20"/>
        </w:rPr>
        <w:t xml:space="preserve"> Vplyv výučby </w:t>
      </w:r>
      <w:r>
        <w:rPr>
          <w:rFonts w:ascii="Times New Roman" w:hAnsi="Times New Roman" w:cs="Times New Roman"/>
          <w:b/>
          <w:sz w:val="20"/>
          <w:szCs w:val="20"/>
        </w:rPr>
        <w:t>ľudských práv na postoje žiakov</w:t>
      </w:r>
    </w:p>
    <w:p w:rsidR="00FE5BEE" w:rsidRPr="00FE5BEE" w:rsidRDefault="00FE5BEE" w:rsidP="00FE5BEE">
      <w:pPr>
        <w:pStyle w:val="Zkladntext3"/>
        <w:spacing w:after="0" w:line="240" w:lineRule="auto"/>
        <w:rPr>
          <w:rFonts w:ascii="Times New Roman" w:hAnsi="Times New Roman" w:cs="Times New Roman"/>
          <w:b/>
          <w:sz w:val="24"/>
          <w:szCs w:val="24"/>
        </w:rPr>
      </w:pPr>
      <w:r w:rsidRPr="00FE5BEE">
        <w:rPr>
          <w:rFonts w:ascii="Times New Roman" w:hAnsi="Times New Roman" w:cs="Times New Roman"/>
          <w:b/>
          <w:noProof/>
          <w:sz w:val="24"/>
          <w:szCs w:val="24"/>
          <w:lang w:eastAsia="sk-SK"/>
        </w:rPr>
        <w:drawing>
          <wp:inline distT="0" distB="0" distL="0" distR="0" wp14:anchorId="1FA67362" wp14:editId="4FA52C8D">
            <wp:extent cx="5737860" cy="1516380"/>
            <wp:effectExtent l="0" t="0" r="0" b="0"/>
            <wp:docPr id="7" name="Graf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E5BEE" w:rsidRPr="00FE5BEE" w:rsidRDefault="00FE5BEE" w:rsidP="00FE5BEE">
      <w:pPr>
        <w:pStyle w:val="Zkladntext3"/>
        <w:spacing w:after="0" w:line="240" w:lineRule="auto"/>
        <w:rPr>
          <w:rFonts w:ascii="Times New Roman" w:hAnsi="Times New Roman" w:cs="Times New Roman"/>
          <w:b/>
          <w:sz w:val="24"/>
          <w:szCs w:val="24"/>
        </w:rPr>
      </w:pPr>
    </w:p>
    <w:p w:rsidR="00FE5BEE" w:rsidRDefault="00FE5BEE" w:rsidP="00FE5BEE">
      <w:pPr>
        <w:spacing w:after="0" w:line="240" w:lineRule="auto"/>
        <w:jc w:val="both"/>
        <w:rPr>
          <w:rFonts w:ascii="Times New Roman" w:hAnsi="Times New Roman" w:cs="Times New Roman"/>
          <w:b/>
          <w:sz w:val="24"/>
          <w:szCs w:val="24"/>
        </w:rPr>
      </w:pPr>
      <w:r w:rsidRPr="00FE5BEE">
        <w:rPr>
          <w:rFonts w:ascii="Times New Roman" w:hAnsi="Times New Roman" w:cs="Times New Roman"/>
          <w:sz w:val="24"/>
          <w:szCs w:val="24"/>
        </w:rPr>
        <w:t>Pozitívne vnímanie zmeny v postojoch a názoroch žiakov v dôsledku vzdelávania pociťujú rovnako učitelia základných aj stredných škôl, pričom výraznejšie na nižšom stupni vz</w:t>
      </w:r>
      <w:r w:rsidR="00744108">
        <w:rPr>
          <w:rFonts w:ascii="Times New Roman" w:hAnsi="Times New Roman" w:cs="Times New Roman"/>
          <w:sz w:val="24"/>
          <w:szCs w:val="24"/>
        </w:rPr>
        <w:t>delávania</w:t>
      </w:r>
      <w:r w:rsidRPr="00FE5BEE">
        <w:rPr>
          <w:rFonts w:ascii="Times New Roman" w:hAnsi="Times New Roman" w:cs="Times New Roman"/>
          <w:sz w:val="24"/>
          <w:szCs w:val="24"/>
        </w:rPr>
        <w:t>. Hoci v odpovediach oslovených dominuje pozitívne vnímanie zmien, približne štvrtina poukazuje na nedostatočný vplyv vzdelávania v oblasti ľudských práv na žia</w:t>
      </w:r>
      <w:r w:rsidR="00744108">
        <w:rPr>
          <w:rFonts w:ascii="Times New Roman" w:hAnsi="Times New Roman" w:cs="Times New Roman"/>
          <w:sz w:val="24"/>
          <w:szCs w:val="24"/>
        </w:rPr>
        <w:t>kov (ZŠ 26,2 %, SŠ 25,2 %). Z</w:t>
      </w:r>
      <w:r w:rsidRPr="00FE5BEE">
        <w:rPr>
          <w:rFonts w:ascii="Times New Roman" w:hAnsi="Times New Roman" w:cs="Times New Roman"/>
          <w:sz w:val="24"/>
          <w:szCs w:val="24"/>
        </w:rPr>
        <w:t>arážajúce</w:t>
      </w:r>
      <w:r w:rsidR="00744108">
        <w:rPr>
          <w:rFonts w:ascii="Times New Roman" w:hAnsi="Times New Roman" w:cs="Times New Roman"/>
          <w:sz w:val="24"/>
          <w:szCs w:val="24"/>
        </w:rPr>
        <w:t xml:space="preserve"> je, že každý siedmy</w:t>
      </w:r>
      <w:r w:rsidRPr="00FE5BEE">
        <w:rPr>
          <w:rFonts w:ascii="Times New Roman" w:hAnsi="Times New Roman" w:cs="Times New Roman"/>
          <w:sz w:val="24"/>
          <w:szCs w:val="24"/>
        </w:rPr>
        <w:t xml:space="preserve"> stredoškolský ped</w:t>
      </w:r>
      <w:r w:rsidR="00744108">
        <w:rPr>
          <w:rFonts w:ascii="Times New Roman" w:hAnsi="Times New Roman" w:cs="Times New Roman"/>
          <w:sz w:val="24"/>
          <w:szCs w:val="24"/>
        </w:rPr>
        <w:t xml:space="preserve">agóg a každý desiaty </w:t>
      </w:r>
      <w:r w:rsidRPr="00FE5BEE">
        <w:rPr>
          <w:rFonts w:ascii="Times New Roman" w:hAnsi="Times New Roman" w:cs="Times New Roman"/>
          <w:sz w:val="24"/>
          <w:szCs w:val="24"/>
        </w:rPr>
        <w:t xml:space="preserve"> učiteľ základnej školy nevedel k problému zaujať stanovisko.</w:t>
      </w:r>
      <w:r>
        <w:rPr>
          <w:rFonts w:ascii="Times New Roman" w:hAnsi="Times New Roman" w:cs="Times New Roman"/>
          <w:b/>
          <w:sz w:val="24"/>
          <w:szCs w:val="24"/>
        </w:rPr>
        <w:t xml:space="preserve"> </w:t>
      </w:r>
    </w:p>
    <w:p w:rsidR="00FE5BEE" w:rsidRPr="00FE5BEE" w:rsidRDefault="00FE5BEE" w:rsidP="00FE5BEE">
      <w:pPr>
        <w:spacing w:after="0" w:line="240" w:lineRule="auto"/>
        <w:jc w:val="both"/>
        <w:rPr>
          <w:rFonts w:ascii="Times New Roman" w:hAnsi="Times New Roman" w:cs="Times New Roman"/>
          <w:b/>
          <w:sz w:val="24"/>
          <w:szCs w:val="24"/>
        </w:rPr>
      </w:pPr>
    </w:p>
    <w:p w:rsidR="00FE5BEE" w:rsidRPr="00FE5BEE" w:rsidRDefault="00FE5BEE" w:rsidP="00FE5BEE">
      <w:pPr>
        <w:spacing w:after="120" w:line="240" w:lineRule="auto"/>
        <w:jc w:val="both"/>
        <w:rPr>
          <w:rFonts w:ascii="Times New Roman" w:hAnsi="Times New Roman" w:cs="Times New Roman"/>
          <w:sz w:val="24"/>
          <w:szCs w:val="24"/>
        </w:rPr>
      </w:pPr>
      <w:r w:rsidRPr="00FE5BEE">
        <w:rPr>
          <w:rFonts w:ascii="Times New Roman" w:hAnsi="Times New Roman" w:cs="Times New Roman"/>
          <w:sz w:val="24"/>
          <w:szCs w:val="24"/>
        </w:rPr>
        <w:t>Z komparačnej tabuľky</w:t>
      </w:r>
      <w:r w:rsidRPr="00FE5BEE">
        <w:rPr>
          <w:rFonts w:ascii="Times New Roman" w:hAnsi="Times New Roman" w:cs="Times New Roman"/>
          <w:b/>
          <w:sz w:val="24"/>
          <w:szCs w:val="24"/>
        </w:rPr>
        <w:t xml:space="preserve"> za skúmané obdobie (roky 2005-2015) </w:t>
      </w:r>
      <w:r w:rsidRPr="00FE5BEE">
        <w:rPr>
          <w:rFonts w:ascii="Times New Roman" w:hAnsi="Times New Roman" w:cs="Times New Roman"/>
          <w:sz w:val="24"/>
          <w:szCs w:val="24"/>
        </w:rPr>
        <w:t>vyplýva pozitívny vplyv výučby predmetnej problematiky na zmenu názorov a postojov žiakov základných a stredných škôl a má stále stúpajúcu tendenciu (rok 2005: 76,0 %, 2008: 71,1 %, 2011: 67,0 %, 2013: 59,3 %, 2015: 61,3 %). Hoci neustále prevažuje v názoroch respondentov pozitívny vplyv vzdelávania v oblasti ľudských práv na žiakov, stále viac oslovených učiteľov pripúšťa, že výučba nemá dostatočný vplyv na</w:t>
      </w:r>
      <w:r w:rsidR="00744108">
        <w:rPr>
          <w:rFonts w:ascii="Times New Roman" w:hAnsi="Times New Roman" w:cs="Times New Roman"/>
          <w:sz w:val="24"/>
          <w:szCs w:val="24"/>
        </w:rPr>
        <w:t xml:space="preserve"> ich postoje a názory</w:t>
      </w:r>
      <w:r w:rsidRPr="00FE5BEE">
        <w:rPr>
          <w:rFonts w:ascii="Times New Roman" w:hAnsi="Times New Roman" w:cs="Times New Roman"/>
          <w:sz w:val="24"/>
          <w:szCs w:val="24"/>
        </w:rPr>
        <w:t xml:space="preserve">. A tak sú učitelia v tomto smere mierne skeptickí a dokonca štvrtina oslovených v ostatných rokoch skúmania poukazuje na to, že skôr nespozorovala, alebo jednoznačne nespozorovala zmenu v postojoch a názoroch. </w:t>
      </w:r>
    </w:p>
    <w:p w:rsidR="00FE5BEE" w:rsidRPr="00FE5BEE" w:rsidRDefault="00FE5BEE" w:rsidP="00FE5BEE">
      <w:pPr>
        <w:spacing w:after="0" w:line="240" w:lineRule="auto"/>
        <w:rPr>
          <w:rFonts w:ascii="Times New Roman" w:hAnsi="Times New Roman" w:cs="Times New Roman"/>
          <w:sz w:val="20"/>
          <w:szCs w:val="20"/>
        </w:rPr>
      </w:pPr>
      <w:r>
        <w:rPr>
          <w:rFonts w:ascii="Times New Roman" w:hAnsi="Times New Roman" w:cs="Times New Roman"/>
          <w:b/>
          <w:sz w:val="20"/>
          <w:szCs w:val="20"/>
        </w:rPr>
        <w:t>Tabuľka 4</w:t>
      </w:r>
      <w:r w:rsidRPr="00FE5BEE">
        <w:rPr>
          <w:rFonts w:ascii="Times New Roman" w:hAnsi="Times New Roman" w:cs="Times New Roman"/>
          <w:b/>
          <w:sz w:val="20"/>
          <w:szCs w:val="20"/>
        </w:rPr>
        <w:t xml:space="preserve"> Vplyv výučby ľudských práv na postoje žiakov – porovnanie údajov (v %)</w:t>
      </w:r>
    </w:p>
    <w:tbl>
      <w:tblPr>
        <w:tblW w:w="4905" w:type="pct"/>
        <w:tblInd w:w="70" w:type="dxa"/>
        <w:tblCellMar>
          <w:left w:w="70" w:type="dxa"/>
          <w:right w:w="70" w:type="dxa"/>
        </w:tblCellMar>
        <w:tblLook w:val="0000" w:firstRow="0" w:lastRow="0" w:firstColumn="0" w:lastColumn="0" w:noHBand="0" w:noVBand="0"/>
      </w:tblPr>
      <w:tblGrid>
        <w:gridCol w:w="2978"/>
        <w:gridCol w:w="1213"/>
        <w:gridCol w:w="1211"/>
        <w:gridCol w:w="1211"/>
        <w:gridCol w:w="1211"/>
        <w:gridCol w:w="1213"/>
      </w:tblGrid>
      <w:tr w:rsidR="00FE5BEE" w:rsidRPr="00FE5BEE" w:rsidTr="00744108">
        <w:trPr>
          <w:trHeight w:val="255"/>
        </w:trPr>
        <w:tc>
          <w:tcPr>
            <w:tcW w:w="1647" w:type="pct"/>
            <w:tcBorders>
              <w:top w:val="single" w:sz="4" w:space="0" w:color="auto"/>
              <w:left w:val="single" w:sz="4" w:space="0" w:color="auto"/>
              <w:bottom w:val="single" w:sz="4" w:space="0" w:color="auto"/>
              <w:right w:val="single" w:sz="4" w:space="0" w:color="auto"/>
            </w:tcBorders>
            <w:shd w:val="clear" w:color="auto" w:fill="B8CCE4"/>
            <w:noWrap/>
            <w:vAlign w:val="center"/>
          </w:tcPr>
          <w:p w:rsidR="00FE5BEE" w:rsidRPr="00FE5BEE" w:rsidRDefault="00FE5BEE" w:rsidP="00FE5BEE">
            <w:pPr>
              <w:spacing w:after="0" w:line="240" w:lineRule="auto"/>
              <w:rPr>
                <w:rFonts w:ascii="Times New Roman" w:hAnsi="Times New Roman" w:cs="Times New Roman"/>
                <w:sz w:val="20"/>
                <w:szCs w:val="20"/>
                <w:lang w:eastAsia="sk-SK"/>
              </w:rPr>
            </w:pPr>
            <w:r w:rsidRPr="00FE5BEE">
              <w:rPr>
                <w:rFonts w:ascii="Times New Roman" w:hAnsi="Times New Roman" w:cs="Times New Roman"/>
                <w:sz w:val="20"/>
                <w:szCs w:val="20"/>
                <w:lang w:eastAsia="sk-SK"/>
              </w:rPr>
              <w:t> </w:t>
            </w:r>
          </w:p>
        </w:tc>
        <w:tc>
          <w:tcPr>
            <w:tcW w:w="671" w:type="pct"/>
            <w:tcBorders>
              <w:top w:val="single" w:sz="4" w:space="0" w:color="auto"/>
              <w:left w:val="nil"/>
              <w:bottom w:val="single" w:sz="4" w:space="0" w:color="auto"/>
              <w:right w:val="single" w:sz="4" w:space="0" w:color="auto"/>
            </w:tcBorders>
            <w:shd w:val="clear" w:color="auto" w:fill="B8CCE4"/>
            <w:vAlign w:val="center"/>
          </w:tcPr>
          <w:p w:rsidR="00FE5BEE" w:rsidRPr="00FE5BEE" w:rsidRDefault="00FE5BEE" w:rsidP="00FE5BEE">
            <w:pPr>
              <w:spacing w:after="0" w:line="240" w:lineRule="auto"/>
              <w:jc w:val="center"/>
              <w:rPr>
                <w:rFonts w:ascii="Times New Roman" w:hAnsi="Times New Roman" w:cs="Times New Roman"/>
                <w:b/>
                <w:sz w:val="20"/>
                <w:szCs w:val="20"/>
                <w:lang w:eastAsia="sk-SK"/>
              </w:rPr>
            </w:pPr>
            <w:r w:rsidRPr="00FE5BEE">
              <w:rPr>
                <w:rFonts w:ascii="Times New Roman" w:hAnsi="Times New Roman" w:cs="Times New Roman"/>
                <w:b/>
                <w:sz w:val="20"/>
                <w:szCs w:val="20"/>
                <w:lang w:eastAsia="sk-SK"/>
              </w:rPr>
              <w:t>2005</w:t>
            </w:r>
          </w:p>
        </w:tc>
        <w:tc>
          <w:tcPr>
            <w:tcW w:w="670" w:type="pct"/>
            <w:tcBorders>
              <w:top w:val="single" w:sz="4" w:space="0" w:color="auto"/>
              <w:left w:val="single" w:sz="4" w:space="0" w:color="auto"/>
              <w:bottom w:val="single" w:sz="4" w:space="0" w:color="auto"/>
              <w:right w:val="single" w:sz="4" w:space="0" w:color="auto"/>
            </w:tcBorders>
            <w:shd w:val="clear" w:color="auto" w:fill="B8CCE4"/>
            <w:vAlign w:val="center"/>
          </w:tcPr>
          <w:p w:rsidR="00FE5BEE" w:rsidRPr="00FE5BEE" w:rsidRDefault="00FE5BEE" w:rsidP="00FE5BEE">
            <w:pPr>
              <w:spacing w:after="0" w:line="240" w:lineRule="auto"/>
              <w:jc w:val="center"/>
              <w:rPr>
                <w:rFonts w:ascii="Times New Roman" w:hAnsi="Times New Roman" w:cs="Times New Roman"/>
                <w:b/>
                <w:sz w:val="20"/>
                <w:szCs w:val="20"/>
                <w:lang w:eastAsia="sk-SK"/>
              </w:rPr>
            </w:pPr>
            <w:r w:rsidRPr="00FE5BEE">
              <w:rPr>
                <w:rFonts w:ascii="Times New Roman" w:hAnsi="Times New Roman" w:cs="Times New Roman"/>
                <w:b/>
                <w:sz w:val="20"/>
                <w:szCs w:val="20"/>
                <w:lang w:eastAsia="sk-SK"/>
              </w:rPr>
              <w:t>2008</w:t>
            </w:r>
          </w:p>
        </w:tc>
        <w:tc>
          <w:tcPr>
            <w:tcW w:w="670" w:type="pct"/>
            <w:tcBorders>
              <w:top w:val="single" w:sz="4" w:space="0" w:color="auto"/>
              <w:left w:val="single" w:sz="4" w:space="0" w:color="auto"/>
              <w:bottom w:val="single" w:sz="4" w:space="0" w:color="auto"/>
              <w:right w:val="single" w:sz="4" w:space="0" w:color="auto"/>
            </w:tcBorders>
            <w:shd w:val="clear" w:color="auto" w:fill="B8CCE4"/>
            <w:vAlign w:val="bottom"/>
          </w:tcPr>
          <w:p w:rsidR="00FE5BEE" w:rsidRPr="00FE5BEE" w:rsidRDefault="00FE5BEE" w:rsidP="00FE5BEE">
            <w:pPr>
              <w:spacing w:after="0" w:line="240" w:lineRule="auto"/>
              <w:jc w:val="center"/>
              <w:rPr>
                <w:rFonts w:ascii="Times New Roman" w:hAnsi="Times New Roman" w:cs="Times New Roman"/>
                <w:b/>
                <w:sz w:val="20"/>
                <w:szCs w:val="20"/>
                <w:lang w:eastAsia="sk-SK"/>
              </w:rPr>
            </w:pPr>
            <w:r w:rsidRPr="00FE5BEE">
              <w:rPr>
                <w:rFonts w:ascii="Times New Roman" w:hAnsi="Times New Roman" w:cs="Times New Roman"/>
                <w:b/>
                <w:sz w:val="20"/>
                <w:szCs w:val="20"/>
                <w:lang w:eastAsia="sk-SK"/>
              </w:rPr>
              <w:t>2011</w:t>
            </w:r>
          </w:p>
        </w:tc>
        <w:tc>
          <w:tcPr>
            <w:tcW w:w="670" w:type="pct"/>
            <w:tcBorders>
              <w:top w:val="single" w:sz="4" w:space="0" w:color="auto"/>
              <w:left w:val="single" w:sz="4" w:space="0" w:color="auto"/>
              <w:bottom w:val="single" w:sz="4" w:space="0" w:color="auto"/>
              <w:right w:val="single" w:sz="4" w:space="0" w:color="auto"/>
            </w:tcBorders>
            <w:shd w:val="clear" w:color="auto" w:fill="B8CCE4"/>
            <w:vAlign w:val="bottom"/>
          </w:tcPr>
          <w:p w:rsidR="00FE5BEE" w:rsidRPr="00FE5BEE" w:rsidRDefault="00FE5BEE" w:rsidP="00FE5BEE">
            <w:pPr>
              <w:spacing w:after="0" w:line="240" w:lineRule="auto"/>
              <w:jc w:val="center"/>
              <w:rPr>
                <w:rFonts w:ascii="Times New Roman" w:hAnsi="Times New Roman" w:cs="Times New Roman"/>
                <w:b/>
                <w:sz w:val="20"/>
                <w:szCs w:val="20"/>
                <w:lang w:eastAsia="sk-SK"/>
              </w:rPr>
            </w:pPr>
            <w:r w:rsidRPr="00FE5BEE">
              <w:rPr>
                <w:rFonts w:ascii="Times New Roman" w:hAnsi="Times New Roman" w:cs="Times New Roman"/>
                <w:b/>
                <w:sz w:val="20"/>
                <w:szCs w:val="20"/>
                <w:lang w:eastAsia="sk-SK"/>
              </w:rPr>
              <w:t>2013</w:t>
            </w:r>
          </w:p>
        </w:tc>
        <w:tc>
          <w:tcPr>
            <w:tcW w:w="671" w:type="pct"/>
            <w:tcBorders>
              <w:top w:val="single" w:sz="4" w:space="0" w:color="auto"/>
              <w:left w:val="single" w:sz="4" w:space="0" w:color="auto"/>
              <w:bottom w:val="single" w:sz="4" w:space="0" w:color="auto"/>
              <w:right w:val="single" w:sz="4" w:space="0" w:color="auto"/>
            </w:tcBorders>
            <w:shd w:val="clear" w:color="auto" w:fill="B8CCE4"/>
            <w:vAlign w:val="center"/>
          </w:tcPr>
          <w:p w:rsidR="00FE5BEE" w:rsidRPr="00FE5BEE" w:rsidRDefault="00FE5BEE" w:rsidP="00FE5BEE">
            <w:pPr>
              <w:spacing w:after="0" w:line="240" w:lineRule="auto"/>
              <w:jc w:val="center"/>
              <w:rPr>
                <w:rFonts w:ascii="Times New Roman" w:hAnsi="Times New Roman" w:cs="Times New Roman"/>
                <w:b/>
                <w:sz w:val="20"/>
                <w:szCs w:val="20"/>
                <w:lang w:eastAsia="sk-SK"/>
              </w:rPr>
            </w:pPr>
            <w:r w:rsidRPr="00FE5BEE">
              <w:rPr>
                <w:rFonts w:ascii="Times New Roman" w:hAnsi="Times New Roman" w:cs="Times New Roman"/>
                <w:b/>
                <w:sz w:val="20"/>
                <w:szCs w:val="20"/>
                <w:lang w:eastAsia="sk-SK"/>
              </w:rPr>
              <w:t>2015</w:t>
            </w:r>
          </w:p>
        </w:tc>
      </w:tr>
      <w:tr w:rsidR="00FE5BEE" w:rsidRPr="00FE5BEE" w:rsidTr="00744108">
        <w:trPr>
          <w:trHeight w:val="255"/>
        </w:trPr>
        <w:tc>
          <w:tcPr>
            <w:tcW w:w="1647" w:type="pct"/>
            <w:tcBorders>
              <w:top w:val="nil"/>
              <w:left w:val="single" w:sz="4" w:space="0" w:color="auto"/>
              <w:bottom w:val="single" w:sz="4" w:space="0" w:color="auto"/>
              <w:right w:val="single" w:sz="4" w:space="0" w:color="auto"/>
            </w:tcBorders>
            <w:shd w:val="clear" w:color="auto" w:fill="FFFFFF"/>
            <w:noWrap/>
            <w:vAlign w:val="center"/>
          </w:tcPr>
          <w:p w:rsidR="00FE5BEE" w:rsidRPr="00FE5BEE" w:rsidRDefault="00FE5BEE" w:rsidP="00FE5BEE">
            <w:pPr>
              <w:spacing w:after="0" w:line="240" w:lineRule="auto"/>
              <w:rPr>
                <w:rFonts w:ascii="Times New Roman" w:hAnsi="Times New Roman" w:cs="Times New Roman"/>
                <w:sz w:val="20"/>
                <w:szCs w:val="20"/>
                <w:lang w:eastAsia="sk-SK"/>
              </w:rPr>
            </w:pPr>
            <w:r w:rsidRPr="00FE5BEE">
              <w:rPr>
                <w:rFonts w:ascii="Times New Roman" w:hAnsi="Times New Roman" w:cs="Times New Roman"/>
                <w:sz w:val="20"/>
                <w:szCs w:val="20"/>
                <w:lang w:eastAsia="sk-SK"/>
              </w:rPr>
              <w:t>určite áno</w:t>
            </w:r>
          </w:p>
        </w:tc>
        <w:tc>
          <w:tcPr>
            <w:tcW w:w="671" w:type="pct"/>
            <w:tcBorders>
              <w:top w:val="single" w:sz="4" w:space="0" w:color="auto"/>
              <w:left w:val="nil"/>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19,8</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19,5</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bottom"/>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18,4</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bottom"/>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4,9</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3,9</w:t>
            </w:r>
          </w:p>
        </w:tc>
      </w:tr>
      <w:tr w:rsidR="00FE5BEE" w:rsidRPr="00FE5BEE" w:rsidTr="00744108">
        <w:trPr>
          <w:trHeight w:val="255"/>
        </w:trPr>
        <w:tc>
          <w:tcPr>
            <w:tcW w:w="1647" w:type="pct"/>
            <w:tcBorders>
              <w:top w:val="nil"/>
              <w:left w:val="single" w:sz="4" w:space="0" w:color="auto"/>
              <w:bottom w:val="single" w:sz="4" w:space="0" w:color="auto"/>
              <w:right w:val="single" w:sz="4" w:space="0" w:color="auto"/>
            </w:tcBorders>
            <w:shd w:val="clear" w:color="auto" w:fill="FFFFFF"/>
            <w:noWrap/>
            <w:vAlign w:val="center"/>
          </w:tcPr>
          <w:p w:rsidR="00FE5BEE" w:rsidRPr="00FE5BEE" w:rsidRDefault="00FE5BEE" w:rsidP="00FE5BEE">
            <w:pPr>
              <w:spacing w:after="0" w:line="240" w:lineRule="auto"/>
              <w:rPr>
                <w:rFonts w:ascii="Times New Roman" w:hAnsi="Times New Roman" w:cs="Times New Roman"/>
                <w:sz w:val="20"/>
                <w:szCs w:val="20"/>
                <w:lang w:eastAsia="sk-SK"/>
              </w:rPr>
            </w:pPr>
            <w:r w:rsidRPr="00FE5BEE">
              <w:rPr>
                <w:rFonts w:ascii="Times New Roman" w:hAnsi="Times New Roman" w:cs="Times New Roman"/>
                <w:sz w:val="20"/>
                <w:szCs w:val="20"/>
                <w:lang w:eastAsia="sk-SK"/>
              </w:rPr>
              <w:t>skôr áno</w:t>
            </w:r>
          </w:p>
        </w:tc>
        <w:tc>
          <w:tcPr>
            <w:tcW w:w="671" w:type="pct"/>
            <w:tcBorders>
              <w:top w:val="single" w:sz="4" w:space="0" w:color="auto"/>
              <w:left w:val="nil"/>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56,2</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51,6</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bottom"/>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48,6</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bottom"/>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54,4</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57,3</w:t>
            </w:r>
          </w:p>
        </w:tc>
      </w:tr>
      <w:tr w:rsidR="00FE5BEE" w:rsidRPr="00FE5BEE" w:rsidTr="00744108">
        <w:trPr>
          <w:trHeight w:val="255"/>
        </w:trPr>
        <w:tc>
          <w:tcPr>
            <w:tcW w:w="1647" w:type="pct"/>
            <w:tcBorders>
              <w:top w:val="nil"/>
              <w:left w:val="single" w:sz="4" w:space="0" w:color="auto"/>
              <w:bottom w:val="single" w:sz="4" w:space="0" w:color="auto"/>
              <w:right w:val="single" w:sz="4" w:space="0" w:color="auto"/>
            </w:tcBorders>
            <w:shd w:val="clear" w:color="auto" w:fill="FFFFFF"/>
            <w:noWrap/>
            <w:vAlign w:val="center"/>
          </w:tcPr>
          <w:p w:rsidR="00FE5BEE" w:rsidRPr="00FE5BEE" w:rsidRDefault="00FE5BEE" w:rsidP="00FE5BEE">
            <w:pPr>
              <w:spacing w:after="0" w:line="240" w:lineRule="auto"/>
              <w:rPr>
                <w:rFonts w:ascii="Times New Roman" w:hAnsi="Times New Roman" w:cs="Times New Roman"/>
                <w:sz w:val="20"/>
                <w:szCs w:val="20"/>
                <w:lang w:eastAsia="sk-SK"/>
              </w:rPr>
            </w:pPr>
            <w:r w:rsidRPr="00FE5BEE">
              <w:rPr>
                <w:rFonts w:ascii="Times New Roman" w:hAnsi="Times New Roman" w:cs="Times New Roman"/>
                <w:sz w:val="20"/>
                <w:szCs w:val="20"/>
                <w:lang w:eastAsia="sk-SK"/>
              </w:rPr>
              <w:t>skôr nie</w:t>
            </w:r>
          </w:p>
        </w:tc>
        <w:tc>
          <w:tcPr>
            <w:tcW w:w="671" w:type="pct"/>
            <w:tcBorders>
              <w:top w:val="single" w:sz="4" w:space="0" w:color="auto"/>
              <w:left w:val="nil"/>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11,6</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16,5</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bottom"/>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17,8</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bottom"/>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25,0</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24,4</w:t>
            </w:r>
          </w:p>
        </w:tc>
      </w:tr>
      <w:tr w:rsidR="00FE5BEE" w:rsidRPr="00FE5BEE" w:rsidTr="00744108">
        <w:trPr>
          <w:trHeight w:val="255"/>
        </w:trPr>
        <w:tc>
          <w:tcPr>
            <w:tcW w:w="1647" w:type="pct"/>
            <w:tcBorders>
              <w:top w:val="nil"/>
              <w:left w:val="single" w:sz="4" w:space="0" w:color="auto"/>
              <w:bottom w:val="single" w:sz="4" w:space="0" w:color="auto"/>
              <w:right w:val="single" w:sz="4" w:space="0" w:color="auto"/>
            </w:tcBorders>
            <w:shd w:val="clear" w:color="auto" w:fill="FFFFFF"/>
            <w:noWrap/>
            <w:vAlign w:val="center"/>
          </w:tcPr>
          <w:p w:rsidR="00FE5BEE" w:rsidRPr="00FE5BEE" w:rsidRDefault="00FE5BEE" w:rsidP="00FE5BEE">
            <w:pPr>
              <w:spacing w:after="0" w:line="240" w:lineRule="auto"/>
              <w:rPr>
                <w:rFonts w:ascii="Times New Roman" w:hAnsi="Times New Roman" w:cs="Times New Roman"/>
                <w:sz w:val="20"/>
                <w:szCs w:val="20"/>
                <w:lang w:eastAsia="sk-SK"/>
              </w:rPr>
            </w:pPr>
            <w:r w:rsidRPr="00FE5BEE">
              <w:rPr>
                <w:rFonts w:ascii="Times New Roman" w:hAnsi="Times New Roman" w:cs="Times New Roman"/>
                <w:sz w:val="20"/>
                <w:szCs w:val="20"/>
                <w:lang w:eastAsia="sk-SK"/>
              </w:rPr>
              <w:t>určite nie</w:t>
            </w:r>
          </w:p>
        </w:tc>
        <w:tc>
          <w:tcPr>
            <w:tcW w:w="671" w:type="pct"/>
            <w:tcBorders>
              <w:top w:val="single" w:sz="4" w:space="0" w:color="auto"/>
              <w:left w:val="nil"/>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0,0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1,8</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bottom"/>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bottom"/>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1,9</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1,1</w:t>
            </w:r>
          </w:p>
        </w:tc>
      </w:tr>
      <w:tr w:rsidR="00FE5BEE" w:rsidRPr="00FE5BEE" w:rsidTr="00744108">
        <w:trPr>
          <w:trHeight w:val="255"/>
        </w:trPr>
        <w:tc>
          <w:tcPr>
            <w:tcW w:w="1647" w:type="pct"/>
            <w:tcBorders>
              <w:top w:val="nil"/>
              <w:left w:val="single" w:sz="4" w:space="0" w:color="auto"/>
              <w:bottom w:val="single" w:sz="4" w:space="0" w:color="auto"/>
              <w:right w:val="single" w:sz="4" w:space="0" w:color="auto"/>
            </w:tcBorders>
            <w:shd w:val="clear" w:color="auto" w:fill="FFFFFF"/>
            <w:noWrap/>
            <w:vAlign w:val="center"/>
          </w:tcPr>
          <w:p w:rsidR="00FE5BEE" w:rsidRPr="00FE5BEE" w:rsidRDefault="00FE5BEE" w:rsidP="00FE5BEE">
            <w:pPr>
              <w:spacing w:after="0" w:line="240" w:lineRule="auto"/>
              <w:rPr>
                <w:rFonts w:ascii="Times New Roman" w:hAnsi="Times New Roman" w:cs="Times New Roman"/>
                <w:sz w:val="20"/>
                <w:szCs w:val="20"/>
                <w:lang w:eastAsia="sk-SK"/>
              </w:rPr>
            </w:pPr>
            <w:r w:rsidRPr="00FE5BEE">
              <w:rPr>
                <w:rFonts w:ascii="Times New Roman" w:hAnsi="Times New Roman" w:cs="Times New Roman"/>
                <w:sz w:val="20"/>
                <w:szCs w:val="20"/>
                <w:lang w:eastAsia="sk-SK"/>
              </w:rPr>
              <w:t>neviem</w:t>
            </w:r>
          </w:p>
        </w:tc>
        <w:tc>
          <w:tcPr>
            <w:tcW w:w="671" w:type="pct"/>
            <w:tcBorders>
              <w:top w:val="single" w:sz="4" w:space="0" w:color="auto"/>
              <w:left w:val="nil"/>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12,4</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10,5</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bottom"/>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14,3</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bottom"/>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13,7</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FE5BEE" w:rsidRPr="00FE5BEE" w:rsidRDefault="00FE5BEE" w:rsidP="00FE5BEE">
            <w:pPr>
              <w:spacing w:after="0" w:line="240" w:lineRule="auto"/>
              <w:jc w:val="center"/>
              <w:rPr>
                <w:rFonts w:ascii="Times New Roman" w:hAnsi="Times New Roman" w:cs="Times New Roman"/>
                <w:sz w:val="20"/>
                <w:szCs w:val="20"/>
                <w:lang w:eastAsia="sk-SK"/>
              </w:rPr>
            </w:pPr>
            <w:r w:rsidRPr="00FE5BEE">
              <w:rPr>
                <w:rFonts w:ascii="Times New Roman" w:hAnsi="Times New Roman" w:cs="Times New Roman"/>
                <w:sz w:val="20"/>
                <w:szCs w:val="20"/>
                <w:lang w:eastAsia="sk-SK"/>
              </w:rPr>
              <w:t>13,3</w:t>
            </w:r>
          </w:p>
        </w:tc>
      </w:tr>
    </w:tbl>
    <w:p w:rsidR="00BA7F56" w:rsidRDefault="00BA7F56" w:rsidP="009C43E3">
      <w:pPr>
        <w:pStyle w:val="Nadpis2"/>
        <w:rPr>
          <w:b/>
          <w:bCs/>
          <w:caps/>
          <w:szCs w:val="24"/>
        </w:rPr>
      </w:pPr>
      <w:bookmarkStart w:id="6" w:name="_Toc441149743"/>
    </w:p>
    <w:p w:rsidR="00BA7F56" w:rsidRDefault="00BA7F56" w:rsidP="009C43E3">
      <w:pPr>
        <w:pStyle w:val="Nadpis2"/>
        <w:rPr>
          <w:b/>
          <w:bCs/>
          <w:caps/>
          <w:szCs w:val="24"/>
        </w:rPr>
      </w:pPr>
    </w:p>
    <w:p w:rsidR="00BA7F56" w:rsidRDefault="00BA7F56" w:rsidP="009C43E3">
      <w:pPr>
        <w:pStyle w:val="Nadpis2"/>
        <w:rPr>
          <w:b/>
          <w:bCs/>
          <w:caps/>
          <w:szCs w:val="24"/>
        </w:rPr>
      </w:pPr>
    </w:p>
    <w:p w:rsidR="00BA7F56" w:rsidRDefault="00BA7F56" w:rsidP="009C43E3">
      <w:pPr>
        <w:pStyle w:val="Nadpis2"/>
        <w:rPr>
          <w:b/>
          <w:bCs/>
          <w:caps/>
          <w:szCs w:val="24"/>
        </w:rPr>
      </w:pPr>
    </w:p>
    <w:p w:rsidR="002032B6" w:rsidRDefault="002032B6" w:rsidP="002032B6">
      <w:pPr>
        <w:spacing w:after="0" w:line="240" w:lineRule="auto"/>
        <w:rPr>
          <w:rFonts w:ascii="Times New Roman" w:hAnsi="Times New Roman" w:cs="Times New Roman"/>
          <w:b/>
          <w:sz w:val="28"/>
          <w:szCs w:val="28"/>
        </w:rPr>
      </w:pPr>
    </w:p>
    <w:p w:rsidR="002032B6" w:rsidRDefault="002032B6" w:rsidP="002032B6">
      <w:pPr>
        <w:spacing w:after="0" w:line="240" w:lineRule="auto"/>
        <w:rPr>
          <w:rFonts w:ascii="Times New Roman" w:hAnsi="Times New Roman" w:cs="Times New Roman"/>
          <w:b/>
          <w:sz w:val="28"/>
          <w:szCs w:val="28"/>
        </w:rPr>
      </w:pPr>
    </w:p>
    <w:p w:rsidR="002032B6" w:rsidRDefault="002032B6" w:rsidP="002032B6">
      <w:pPr>
        <w:spacing w:after="0" w:line="240" w:lineRule="auto"/>
        <w:rPr>
          <w:rFonts w:ascii="Times New Roman" w:hAnsi="Times New Roman" w:cs="Times New Roman"/>
          <w:b/>
          <w:sz w:val="28"/>
          <w:szCs w:val="28"/>
        </w:rPr>
      </w:pPr>
    </w:p>
    <w:p w:rsidR="002032B6" w:rsidRPr="00803CCF" w:rsidRDefault="002032B6" w:rsidP="002032B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Porušovanie </w:t>
      </w:r>
      <w:r w:rsidRPr="00803CCF">
        <w:rPr>
          <w:rFonts w:ascii="Times New Roman" w:hAnsi="Times New Roman" w:cs="Times New Roman"/>
          <w:b/>
          <w:sz w:val="28"/>
          <w:szCs w:val="28"/>
        </w:rPr>
        <w:t>ľudských práv</w:t>
      </w:r>
      <w:r>
        <w:rPr>
          <w:rFonts w:ascii="Times New Roman" w:hAnsi="Times New Roman" w:cs="Times New Roman"/>
          <w:b/>
          <w:sz w:val="28"/>
          <w:szCs w:val="28"/>
        </w:rPr>
        <w:t xml:space="preserve"> v školskom prostredí</w:t>
      </w:r>
    </w:p>
    <w:bookmarkEnd w:id="6"/>
    <w:p w:rsidR="007375F7" w:rsidRDefault="009C43E3" w:rsidP="007375F7">
      <w:pPr>
        <w:spacing w:after="0" w:line="240" w:lineRule="auto"/>
        <w:jc w:val="both"/>
        <w:rPr>
          <w:rFonts w:ascii="Times New Roman" w:hAnsi="Times New Roman" w:cs="Times New Roman"/>
          <w:sz w:val="24"/>
          <w:szCs w:val="24"/>
        </w:rPr>
      </w:pPr>
      <w:r w:rsidRPr="009C43E3">
        <w:rPr>
          <w:rFonts w:ascii="Times New Roman" w:hAnsi="Times New Roman" w:cs="Times New Roman"/>
          <w:sz w:val="24"/>
          <w:szCs w:val="24"/>
        </w:rPr>
        <w:t xml:space="preserve">Napriek tomu, že školské prostredie je považované za miesto rozvoja osobnosti dieťaťa a výchovy zameranej na posilňovanie úcty k ľudským právam a základným slobodám, je žiaľ, často aj miestom porušovania ľudských práv. </w:t>
      </w:r>
      <w:bookmarkStart w:id="7" w:name="_Toc441149744"/>
    </w:p>
    <w:p w:rsidR="002032B6" w:rsidRDefault="002032B6" w:rsidP="007375F7">
      <w:pPr>
        <w:spacing w:after="0" w:line="240" w:lineRule="auto"/>
        <w:jc w:val="both"/>
        <w:rPr>
          <w:rFonts w:ascii="Times New Roman" w:hAnsi="Times New Roman" w:cs="Times New Roman"/>
          <w:b/>
          <w:sz w:val="24"/>
          <w:szCs w:val="24"/>
        </w:rPr>
      </w:pPr>
    </w:p>
    <w:p w:rsidR="009C43E3" w:rsidRPr="007375F7" w:rsidRDefault="009C43E3" w:rsidP="007375F7">
      <w:pPr>
        <w:spacing w:after="0" w:line="240" w:lineRule="auto"/>
        <w:jc w:val="both"/>
        <w:rPr>
          <w:rFonts w:ascii="Times New Roman" w:hAnsi="Times New Roman" w:cs="Times New Roman"/>
          <w:b/>
          <w:sz w:val="24"/>
          <w:szCs w:val="24"/>
        </w:rPr>
      </w:pPr>
      <w:r w:rsidRPr="007375F7">
        <w:rPr>
          <w:rFonts w:ascii="Times New Roman" w:hAnsi="Times New Roman" w:cs="Times New Roman"/>
          <w:b/>
          <w:sz w:val="24"/>
          <w:szCs w:val="24"/>
        </w:rPr>
        <w:t>Porušenie práv žiaka učiteľmi</w:t>
      </w:r>
      <w:bookmarkEnd w:id="7"/>
    </w:p>
    <w:p w:rsidR="009C43E3" w:rsidRPr="009C43E3" w:rsidRDefault="009C43E3" w:rsidP="009C43E3">
      <w:pPr>
        <w:spacing w:after="120" w:line="240" w:lineRule="auto"/>
        <w:jc w:val="both"/>
        <w:rPr>
          <w:rFonts w:ascii="Times New Roman" w:hAnsi="Times New Roman" w:cs="Times New Roman"/>
          <w:sz w:val="24"/>
          <w:szCs w:val="24"/>
        </w:rPr>
      </w:pPr>
      <w:r w:rsidRPr="009C43E3">
        <w:rPr>
          <w:rFonts w:ascii="Times New Roman" w:hAnsi="Times New Roman" w:cs="Times New Roman"/>
          <w:sz w:val="24"/>
          <w:szCs w:val="24"/>
        </w:rPr>
        <w:t>Okrem všeobecného zmapovania výskytu porušovania ľudských práv v školskom prostredí sme vo výskume sledovali aj porušenie práv žiaka učiteľmi. Pri analýze problému je však potrebné zohľadniť subjektívne vnímanie porušenia práv žiaka učiteľom, mieru uvedomenia si porušenia práv žiaka, ako aj mieru prizn</w:t>
      </w:r>
      <w:r w:rsidR="00744108">
        <w:rPr>
          <w:rFonts w:ascii="Times New Roman" w:hAnsi="Times New Roman" w:cs="Times New Roman"/>
          <w:sz w:val="24"/>
          <w:szCs w:val="24"/>
        </w:rPr>
        <w:t xml:space="preserve">ania skutočnosti. Zo súboru </w:t>
      </w:r>
      <w:r w:rsidRPr="009C43E3">
        <w:rPr>
          <w:rFonts w:ascii="Times New Roman" w:hAnsi="Times New Roman" w:cs="Times New Roman"/>
          <w:sz w:val="24"/>
          <w:szCs w:val="24"/>
        </w:rPr>
        <w:t>oslovených učiteľov základných a stredných škôl na otázku o porušení ľudských práv v škole kladne odpovedalo 6 (1,7 %) respondentov, 287 (79,3 %) skutočnosť poprelo a 69 (19,1 %) volilo odpoveď nev</w:t>
      </w:r>
      <w:r w:rsidR="00744108">
        <w:rPr>
          <w:rFonts w:ascii="Times New Roman" w:hAnsi="Times New Roman" w:cs="Times New Roman"/>
          <w:sz w:val="24"/>
          <w:szCs w:val="24"/>
        </w:rPr>
        <w:t xml:space="preserve">iem. Iba 6 učiteľov </w:t>
      </w:r>
      <w:r w:rsidRPr="009C43E3">
        <w:rPr>
          <w:rFonts w:ascii="Times New Roman" w:hAnsi="Times New Roman" w:cs="Times New Roman"/>
          <w:sz w:val="24"/>
          <w:szCs w:val="24"/>
        </w:rPr>
        <w:t xml:space="preserve">tak priznalo, že </w:t>
      </w:r>
      <w:r w:rsidRPr="009C43E3">
        <w:rPr>
          <w:rFonts w:ascii="Times New Roman" w:hAnsi="Times New Roman" w:cs="Times New Roman"/>
          <w:b/>
          <w:sz w:val="24"/>
          <w:szCs w:val="24"/>
        </w:rPr>
        <w:t>porušili práva žiaka</w:t>
      </w:r>
      <w:r w:rsidR="00744108">
        <w:rPr>
          <w:rFonts w:ascii="Times New Roman" w:hAnsi="Times New Roman" w:cs="Times New Roman"/>
          <w:sz w:val="24"/>
          <w:szCs w:val="24"/>
        </w:rPr>
        <w:t xml:space="preserve"> a takmer 80,0 %</w:t>
      </w:r>
      <w:r w:rsidRPr="009C43E3">
        <w:rPr>
          <w:rFonts w:ascii="Times New Roman" w:hAnsi="Times New Roman" w:cs="Times New Roman"/>
          <w:sz w:val="24"/>
          <w:szCs w:val="24"/>
        </w:rPr>
        <w:t xml:space="preserve"> je presvedčených, že práva žiaka </w:t>
      </w:r>
      <w:r w:rsidRPr="009C43E3">
        <w:rPr>
          <w:rFonts w:ascii="Times New Roman" w:hAnsi="Times New Roman" w:cs="Times New Roman"/>
          <w:b/>
          <w:sz w:val="24"/>
          <w:szCs w:val="24"/>
        </w:rPr>
        <w:t xml:space="preserve">nikdy neporušili. </w:t>
      </w:r>
      <w:r w:rsidRPr="009C43E3">
        <w:rPr>
          <w:rFonts w:ascii="Times New Roman" w:hAnsi="Times New Roman" w:cs="Times New Roman"/>
          <w:sz w:val="24"/>
          <w:szCs w:val="24"/>
        </w:rPr>
        <w:t>Takm</w:t>
      </w:r>
      <w:r w:rsidR="00744108">
        <w:rPr>
          <w:rFonts w:ascii="Times New Roman" w:hAnsi="Times New Roman" w:cs="Times New Roman"/>
          <w:sz w:val="24"/>
          <w:szCs w:val="24"/>
        </w:rPr>
        <w:t>er každý piaty oslovený</w:t>
      </w:r>
      <w:r w:rsidRPr="009C43E3">
        <w:rPr>
          <w:rFonts w:ascii="Times New Roman" w:hAnsi="Times New Roman" w:cs="Times New Roman"/>
          <w:sz w:val="24"/>
          <w:szCs w:val="24"/>
        </w:rPr>
        <w:t xml:space="preserve"> sa však</w:t>
      </w:r>
      <w:r w:rsidRPr="009C43E3">
        <w:rPr>
          <w:rFonts w:ascii="Times New Roman" w:hAnsi="Times New Roman" w:cs="Times New Roman"/>
          <w:b/>
          <w:sz w:val="24"/>
          <w:szCs w:val="24"/>
        </w:rPr>
        <w:t xml:space="preserve"> </w:t>
      </w:r>
      <w:r w:rsidRPr="00DB0C40">
        <w:rPr>
          <w:rFonts w:ascii="Times New Roman" w:hAnsi="Times New Roman" w:cs="Times New Roman"/>
          <w:sz w:val="24"/>
          <w:szCs w:val="24"/>
        </w:rPr>
        <w:t>priamej odpovede vyhol</w:t>
      </w:r>
      <w:r w:rsidRPr="009C43E3">
        <w:rPr>
          <w:rFonts w:ascii="Times New Roman" w:hAnsi="Times New Roman" w:cs="Times New Roman"/>
          <w:b/>
          <w:sz w:val="24"/>
          <w:szCs w:val="24"/>
        </w:rPr>
        <w:t xml:space="preserve"> </w:t>
      </w:r>
      <w:r w:rsidRPr="009C43E3">
        <w:rPr>
          <w:rFonts w:ascii="Times New Roman" w:hAnsi="Times New Roman" w:cs="Times New Roman"/>
          <w:sz w:val="24"/>
          <w:szCs w:val="24"/>
        </w:rPr>
        <w:t xml:space="preserve">a volil variant </w:t>
      </w:r>
      <w:r w:rsidRPr="00DB0C40">
        <w:rPr>
          <w:rFonts w:ascii="Times New Roman" w:hAnsi="Times New Roman" w:cs="Times New Roman"/>
          <w:b/>
          <w:sz w:val="24"/>
          <w:szCs w:val="24"/>
        </w:rPr>
        <w:t>„neviem“.</w:t>
      </w:r>
      <w:r w:rsidRPr="009C43E3">
        <w:rPr>
          <w:rFonts w:ascii="Times New Roman" w:hAnsi="Times New Roman" w:cs="Times New Roman"/>
          <w:color w:val="FF0000"/>
          <w:sz w:val="24"/>
          <w:szCs w:val="24"/>
        </w:rPr>
        <w:t xml:space="preserve"> </w:t>
      </w:r>
      <w:r w:rsidRPr="009C43E3">
        <w:rPr>
          <w:rFonts w:ascii="Times New Roman" w:hAnsi="Times New Roman" w:cs="Times New Roman"/>
          <w:sz w:val="24"/>
          <w:szCs w:val="24"/>
        </w:rPr>
        <w:t xml:space="preserve">Porušenie práv žiaka uviedli 3 (1,8 %) učitelia </w:t>
      </w:r>
      <w:r w:rsidRPr="009C43E3">
        <w:rPr>
          <w:rFonts w:ascii="Times New Roman" w:hAnsi="Times New Roman" w:cs="Times New Roman"/>
          <w:b/>
          <w:sz w:val="24"/>
          <w:szCs w:val="24"/>
        </w:rPr>
        <w:t>základných</w:t>
      </w:r>
      <w:r w:rsidRPr="009C43E3">
        <w:rPr>
          <w:rFonts w:ascii="Times New Roman" w:hAnsi="Times New Roman" w:cs="Times New Roman"/>
          <w:sz w:val="24"/>
          <w:szCs w:val="24"/>
        </w:rPr>
        <w:t xml:space="preserve"> </w:t>
      </w:r>
      <w:r w:rsidRPr="00DB0C40">
        <w:rPr>
          <w:rFonts w:ascii="Times New Roman" w:hAnsi="Times New Roman" w:cs="Times New Roman"/>
          <w:b/>
          <w:sz w:val="24"/>
          <w:szCs w:val="24"/>
        </w:rPr>
        <w:t>škôl</w:t>
      </w:r>
      <w:r w:rsidRPr="009C43E3">
        <w:rPr>
          <w:rFonts w:ascii="Times New Roman" w:hAnsi="Times New Roman" w:cs="Times New Roman"/>
          <w:sz w:val="24"/>
          <w:szCs w:val="24"/>
        </w:rPr>
        <w:t xml:space="preserve"> a 2 (1,0 %) zo </w:t>
      </w:r>
      <w:r w:rsidRPr="009C43E3">
        <w:rPr>
          <w:rFonts w:ascii="Times New Roman" w:hAnsi="Times New Roman" w:cs="Times New Roman"/>
          <w:b/>
          <w:sz w:val="24"/>
          <w:szCs w:val="24"/>
        </w:rPr>
        <w:t>stredných škôl</w:t>
      </w:r>
      <w:r w:rsidRPr="009C43E3">
        <w:rPr>
          <w:rFonts w:ascii="Times New Roman" w:hAnsi="Times New Roman" w:cs="Times New Roman"/>
          <w:sz w:val="24"/>
          <w:szCs w:val="24"/>
        </w:rPr>
        <w:t>, pritom však približne každý piaty oslovený učiteľ základnej aj strednej školy zaujal k otázke nerozhodný postoj a volil odpov</w:t>
      </w:r>
      <w:r w:rsidR="00AA6817">
        <w:rPr>
          <w:rFonts w:ascii="Times New Roman" w:hAnsi="Times New Roman" w:cs="Times New Roman"/>
          <w:sz w:val="24"/>
          <w:szCs w:val="24"/>
        </w:rPr>
        <w:t>eď neviem</w:t>
      </w:r>
      <w:r w:rsidRPr="009C43E3">
        <w:rPr>
          <w:rFonts w:ascii="Times New Roman" w:hAnsi="Times New Roman" w:cs="Times New Roman"/>
          <w:sz w:val="24"/>
          <w:szCs w:val="24"/>
        </w:rPr>
        <w:t>. Vynára sa otázka, či ide skutočne o nevedomosť, alebo o zakrytie skutočnosti.</w:t>
      </w:r>
    </w:p>
    <w:p w:rsidR="009C43E3" w:rsidRPr="009C43E3" w:rsidRDefault="009C43E3" w:rsidP="009C43E3">
      <w:pPr>
        <w:spacing w:after="0" w:line="240" w:lineRule="auto"/>
        <w:rPr>
          <w:rFonts w:ascii="Times New Roman" w:hAnsi="Times New Roman" w:cs="Times New Roman"/>
          <w:b/>
          <w:sz w:val="20"/>
          <w:szCs w:val="20"/>
        </w:rPr>
      </w:pPr>
      <w:r w:rsidRPr="009C43E3">
        <w:rPr>
          <w:rFonts w:ascii="Times New Roman" w:hAnsi="Times New Roman" w:cs="Times New Roman"/>
          <w:b/>
          <w:noProof/>
          <w:sz w:val="20"/>
          <w:szCs w:val="20"/>
          <w:lang w:eastAsia="sk-SK"/>
        </w:rPr>
        <w:drawing>
          <wp:anchor distT="0" distB="0" distL="114300" distR="114300" simplePos="0" relativeHeight="251658240" behindDoc="0" locked="0" layoutInCell="1" allowOverlap="1" wp14:anchorId="0EAAEEAC" wp14:editId="4E9300F8">
            <wp:simplePos x="0" y="0"/>
            <wp:positionH relativeFrom="column">
              <wp:posOffset>37465</wp:posOffset>
            </wp:positionH>
            <wp:positionV relativeFrom="paragraph">
              <wp:posOffset>288925</wp:posOffset>
            </wp:positionV>
            <wp:extent cx="5753100" cy="1082040"/>
            <wp:effectExtent l="0" t="0" r="0" b="0"/>
            <wp:wrapSquare wrapText="bothSides"/>
            <wp:docPr id="8" name="Graf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009">
        <w:rPr>
          <w:rFonts w:ascii="Times New Roman" w:hAnsi="Times New Roman" w:cs="Times New Roman"/>
          <w:b/>
          <w:sz w:val="20"/>
          <w:szCs w:val="20"/>
        </w:rPr>
        <w:t>Graf 7</w:t>
      </w:r>
      <w:r w:rsidRPr="009C43E3">
        <w:rPr>
          <w:rFonts w:ascii="Times New Roman" w:hAnsi="Times New Roman" w:cs="Times New Roman"/>
          <w:b/>
          <w:sz w:val="20"/>
          <w:szCs w:val="20"/>
        </w:rPr>
        <w:t xml:space="preserve"> Porušenie práv žiaka učiteľmi </w:t>
      </w:r>
    </w:p>
    <w:p w:rsidR="009C43E3" w:rsidRPr="009C43E3" w:rsidRDefault="009C43E3" w:rsidP="009C43E3">
      <w:pPr>
        <w:spacing w:after="120" w:line="240" w:lineRule="auto"/>
        <w:jc w:val="both"/>
        <w:rPr>
          <w:rFonts w:ascii="Times New Roman" w:hAnsi="Times New Roman" w:cs="Times New Roman"/>
          <w:color w:val="FF0000"/>
          <w:sz w:val="24"/>
          <w:szCs w:val="24"/>
        </w:rPr>
      </w:pPr>
      <w:r w:rsidRPr="009C43E3">
        <w:rPr>
          <w:rFonts w:ascii="Times New Roman" w:hAnsi="Times New Roman" w:cs="Times New Roman"/>
          <w:sz w:val="24"/>
          <w:szCs w:val="24"/>
        </w:rPr>
        <w:t xml:space="preserve">Porušenie práv žiaka za </w:t>
      </w:r>
      <w:r w:rsidRPr="009C43E3">
        <w:rPr>
          <w:rFonts w:ascii="Times New Roman" w:hAnsi="Times New Roman" w:cs="Times New Roman"/>
          <w:b/>
          <w:sz w:val="24"/>
          <w:szCs w:val="24"/>
        </w:rPr>
        <w:t xml:space="preserve">sledované obdobie rokov 2005 až 2015 </w:t>
      </w:r>
      <w:r w:rsidRPr="009C43E3">
        <w:rPr>
          <w:rFonts w:ascii="Times New Roman" w:hAnsi="Times New Roman" w:cs="Times New Roman"/>
          <w:sz w:val="24"/>
          <w:szCs w:val="24"/>
        </w:rPr>
        <w:t>na základe výpovedí učiteľov</w:t>
      </w:r>
      <w:r w:rsidRPr="009C43E3">
        <w:rPr>
          <w:rFonts w:ascii="Times New Roman" w:hAnsi="Times New Roman" w:cs="Times New Roman"/>
          <w:b/>
          <w:sz w:val="24"/>
          <w:szCs w:val="24"/>
        </w:rPr>
        <w:t xml:space="preserve"> </w:t>
      </w:r>
      <w:r w:rsidRPr="009C43E3">
        <w:rPr>
          <w:rFonts w:ascii="Times New Roman" w:hAnsi="Times New Roman" w:cs="Times New Roman"/>
          <w:sz w:val="24"/>
          <w:szCs w:val="24"/>
        </w:rPr>
        <w:t>vykazuje pozitívny trend. Zatiaľ čo v roku 2005 priznal porušenie práv žiaka učiteľom približne každý desiaty oslovený učiteľ základných a stredných škôl, v rokoch 2008 a 2011 to bol každý dvadsiaty a v súčasnosti nedosahuje ani 2 %, pričom jeho hodnota neustále klesá. Svedčí to skutočne o zodpovednosti, uvedomelosti a napĺňaní pedagogického kódexu zo strany učiteľov? Alebo je príčinou strach pedagógov priznať pravdu, prípadne zmena vzťahu učiteľa a žiaka založená na demokratickom princípe a partnerstve? Problém by vyžadoval hlbšiu analýzu.</w:t>
      </w:r>
    </w:p>
    <w:p w:rsidR="009C43E3" w:rsidRPr="009C43E3" w:rsidRDefault="009C43E3" w:rsidP="009C43E3">
      <w:pPr>
        <w:spacing w:after="0" w:line="240" w:lineRule="auto"/>
        <w:rPr>
          <w:rFonts w:ascii="Times New Roman" w:hAnsi="Times New Roman" w:cs="Times New Roman"/>
          <w:sz w:val="20"/>
          <w:szCs w:val="20"/>
        </w:rPr>
      </w:pPr>
      <w:r w:rsidRPr="009C43E3">
        <w:rPr>
          <w:rFonts w:ascii="Times New Roman" w:hAnsi="Times New Roman" w:cs="Times New Roman"/>
          <w:b/>
          <w:sz w:val="20"/>
          <w:szCs w:val="20"/>
        </w:rPr>
        <w:t>Tabuľ</w:t>
      </w:r>
      <w:r w:rsidR="00A93009">
        <w:rPr>
          <w:rFonts w:ascii="Times New Roman" w:hAnsi="Times New Roman" w:cs="Times New Roman"/>
          <w:b/>
          <w:sz w:val="20"/>
          <w:szCs w:val="20"/>
        </w:rPr>
        <w:t>ka 5</w:t>
      </w:r>
      <w:r w:rsidRPr="009C43E3">
        <w:rPr>
          <w:rFonts w:ascii="Times New Roman" w:hAnsi="Times New Roman" w:cs="Times New Roman"/>
          <w:b/>
          <w:sz w:val="20"/>
          <w:szCs w:val="20"/>
        </w:rPr>
        <w:t xml:space="preserve"> Porušenie práv žiaka učiteľmi – porovnanie údajov (v %)</w:t>
      </w:r>
    </w:p>
    <w:tbl>
      <w:tblPr>
        <w:tblW w:w="911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4"/>
        <w:gridCol w:w="1191"/>
        <w:gridCol w:w="1191"/>
        <w:gridCol w:w="1191"/>
        <w:gridCol w:w="1191"/>
        <w:gridCol w:w="1191"/>
      </w:tblGrid>
      <w:tr w:rsidR="009C43E3" w:rsidRPr="009C43E3" w:rsidTr="00744108">
        <w:trPr>
          <w:trHeight w:hRule="exact" w:val="255"/>
        </w:trPr>
        <w:tc>
          <w:tcPr>
            <w:tcW w:w="3164" w:type="dxa"/>
            <w:shd w:val="clear" w:color="auto" w:fill="B8CCE4"/>
            <w:noWrap/>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p>
        </w:tc>
        <w:tc>
          <w:tcPr>
            <w:tcW w:w="1191" w:type="dxa"/>
            <w:shd w:val="clear" w:color="auto" w:fill="B8CCE4"/>
            <w:vAlign w:val="center"/>
          </w:tcPr>
          <w:p w:rsidR="009C43E3" w:rsidRPr="009C43E3" w:rsidRDefault="009C43E3" w:rsidP="009C43E3">
            <w:pPr>
              <w:spacing w:after="0" w:line="240" w:lineRule="auto"/>
              <w:jc w:val="center"/>
              <w:rPr>
                <w:rFonts w:ascii="Times New Roman" w:hAnsi="Times New Roman" w:cs="Times New Roman"/>
                <w:b/>
                <w:sz w:val="20"/>
                <w:szCs w:val="20"/>
                <w:lang w:eastAsia="cs-CZ"/>
              </w:rPr>
            </w:pPr>
            <w:r w:rsidRPr="009C43E3">
              <w:rPr>
                <w:rFonts w:ascii="Times New Roman" w:hAnsi="Times New Roman" w:cs="Times New Roman"/>
                <w:b/>
                <w:sz w:val="20"/>
                <w:szCs w:val="20"/>
                <w:lang w:eastAsia="cs-CZ"/>
              </w:rPr>
              <w:t>2005</w:t>
            </w:r>
          </w:p>
        </w:tc>
        <w:tc>
          <w:tcPr>
            <w:tcW w:w="1191" w:type="dxa"/>
            <w:shd w:val="clear" w:color="auto" w:fill="B8CCE4"/>
            <w:noWrap/>
            <w:vAlign w:val="center"/>
          </w:tcPr>
          <w:p w:rsidR="009C43E3" w:rsidRPr="009C43E3" w:rsidRDefault="009C43E3" w:rsidP="009C43E3">
            <w:pPr>
              <w:spacing w:after="0" w:line="240" w:lineRule="auto"/>
              <w:jc w:val="center"/>
              <w:rPr>
                <w:rFonts w:ascii="Times New Roman" w:hAnsi="Times New Roman" w:cs="Times New Roman"/>
                <w:b/>
                <w:sz w:val="20"/>
                <w:szCs w:val="20"/>
                <w:lang w:eastAsia="cs-CZ"/>
              </w:rPr>
            </w:pPr>
            <w:r w:rsidRPr="009C43E3">
              <w:rPr>
                <w:rFonts w:ascii="Times New Roman" w:hAnsi="Times New Roman" w:cs="Times New Roman"/>
                <w:b/>
                <w:sz w:val="20"/>
                <w:szCs w:val="20"/>
                <w:lang w:eastAsia="cs-CZ"/>
              </w:rPr>
              <w:t>2008</w:t>
            </w:r>
          </w:p>
        </w:tc>
        <w:tc>
          <w:tcPr>
            <w:tcW w:w="1191" w:type="dxa"/>
            <w:shd w:val="clear" w:color="auto" w:fill="B8CCE4"/>
            <w:vAlign w:val="center"/>
          </w:tcPr>
          <w:p w:rsidR="009C43E3" w:rsidRPr="009C43E3" w:rsidRDefault="009C43E3" w:rsidP="009C43E3">
            <w:pPr>
              <w:spacing w:after="0" w:line="240" w:lineRule="auto"/>
              <w:jc w:val="center"/>
              <w:rPr>
                <w:rFonts w:ascii="Times New Roman" w:hAnsi="Times New Roman" w:cs="Times New Roman"/>
                <w:b/>
                <w:sz w:val="20"/>
                <w:szCs w:val="20"/>
                <w:lang w:eastAsia="cs-CZ"/>
              </w:rPr>
            </w:pPr>
            <w:r w:rsidRPr="009C43E3">
              <w:rPr>
                <w:rFonts w:ascii="Times New Roman" w:hAnsi="Times New Roman" w:cs="Times New Roman"/>
                <w:b/>
                <w:sz w:val="20"/>
                <w:szCs w:val="20"/>
                <w:lang w:eastAsia="cs-CZ"/>
              </w:rPr>
              <w:t>2011</w:t>
            </w:r>
          </w:p>
        </w:tc>
        <w:tc>
          <w:tcPr>
            <w:tcW w:w="1191" w:type="dxa"/>
            <w:shd w:val="clear" w:color="auto" w:fill="B8CCE4"/>
            <w:vAlign w:val="center"/>
          </w:tcPr>
          <w:p w:rsidR="009C43E3" w:rsidRPr="009C43E3" w:rsidRDefault="009C43E3" w:rsidP="009C43E3">
            <w:pPr>
              <w:spacing w:after="0" w:line="240" w:lineRule="auto"/>
              <w:jc w:val="center"/>
              <w:rPr>
                <w:rFonts w:ascii="Times New Roman" w:hAnsi="Times New Roman" w:cs="Times New Roman"/>
                <w:b/>
                <w:sz w:val="20"/>
                <w:szCs w:val="20"/>
                <w:lang w:eastAsia="cs-CZ"/>
              </w:rPr>
            </w:pPr>
            <w:r w:rsidRPr="009C43E3">
              <w:rPr>
                <w:rFonts w:ascii="Times New Roman" w:hAnsi="Times New Roman" w:cs="Times New Roman"/>
                <w:b/>
                <w:sz w:val="20"/>
                <w:szCs w:val="20"/>
                <w:lang w:eastAsia="cs-CZ"/>
              </w:rPr>
              <w:t>2013</w:t>
            </w:r>
          </w:p>
        </w:tc>
        <w:tc>
          <w:tcPr>
            <w:tcW w:w="1191" w:type="dxa"/>
            <w:shd w:val="clear" w:color="auto" w:fill="B8CCE4"/>
            <w:vAlign w:val="center"/>
          </w:tcPr>
          <w:p w:rsidR="009C43E3" w:rsidRPr="009C43E3" w:rsidRDefault="009C43E3" w:rsidP="009C43E3">
            <w:pPr>
              <w:spacing w:after="0" w:line="240" w:lineRule="auto"/>
              <w:jc w:val="center"/>
              <w:rPr>
                <w:rFonts w:ascii="Times New Roman" w:hAnsi="Times New Roman" w:cs="Times New Roman"/>
                <w:b/>
                <w:sz w:val="20"/>
                <w:szCs w:val="20"/>
                <w:lang w:eastAsia="cs-CZ"/>
              </w:rPr>
            </w:pPr>
            <w:r w:rsidRPr="009C43E3">
              <w:rPr>
                <w:rFonts w:ascii="Times New Roman" w:hAnsi="Times New Roman" w:cs="Times New Roman"/>
                <w:b/>
                <w:sz w:val="20"/>
                <w:szCs w:val="20"/>
                <w:lang w:eastAsia="cs-CZ"/>
              </w:rPr>
              <w:t>2015</w:t>
            </w:r>
          </w:p>
        </w:tc>
      </w:tr>
      <w:tr w:rsidR="009C43E3" w:rsidRPr="009C43E3" w:rsidTr="00744108">
        <w:trPr>
          <w:trHeight w:hRule="exact" w:val="255"/>
        </w:trPr>
        <w:tc>
          <w:tcPr>
            <w:tcW w:w="3164" w:type="dxa"/>
            <w:shd w:val="clear" w:color="auto" w:fill="FFFFFF"/>
            <w:noWrap/>
            <w:vAlign w:val="center"/>
          </w:tcPr>
          <w:p w:rsidR="009C43E3" w:rsidRPr="009C43E3" w:rsidRDefault="009C43E3" w:rsidP="009C43E3">
            <w:pPr>
              <w:spacing w:after="0" w:line="240" w:lineRule="auto"/>
              <w:rPr>
                <w:rFonts w:ascii="Times New Roman" w:hAnsi="Times New Roman" w:cs="Times New Roman"/>
                <w:sz w:val="20"/>
                <w:szCs w:val="20"/>
                <w:lang w:eastAsia="cs-CZ"/>
              </w:rPr>
            </w:pPr>
            <w:r w:rsidRPr="009C43E3">
              <w:rPr>
                <w:rFonts w:ascii="Times New Roman" w:hAnsi="Times New Roman" w:cs="Times New Roman"/>
                <w:sz w:val="20"/>
                <w:szCs w:val="20"/>
                <w:lang w:eastAsia="cs-CZ"/>
              </w:rPr>
              <w:t>áno, porušil</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10,7</w:t>
            </w:r>
          </w:p>
        </w:tc>
        <w:tc>
          <w:tcPr>
            <w:tcW w:w="1191" w:type="dxa"/>
            <w:shd w:val="clear" w:color="auto" w:fill="FFFFFF"/>
            <w:noWrap/>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5,5</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5,0</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1,9</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1,7</w:t>
            </w:r>
          </w:p>
        </w:tc>
      </w:tr>
      <w:tr w:rsidR="009C43E3" w:rsidRPr="009C43E3" w:rsidTr="00744108">
        <w:trPr>
          <w:trHeight w:hRule="exact" w:val="255"/>
        </w:trPr>
        <w:tc>
          <w:tcPr>
            <w:tcW w:w="3164" w:type="dxa"/>
            <w:shd w:val="clear" w:color="auto" w:fill="FFFFFF"/>
            <w:noWrap/>
            <w:vAlign w:val="center"/>
          </w:tcPr>
          <w:p w:rsidR="009C43E3" w:rsidRPr="009C43E3" w:rsidRDefault="009C43E3" w:rsidP="009C43E3">
            <w:pPr>
              <w:spacing w:after="0" w:line="240" w:lineRule="auto"/>
              <w:rPr>
                <w:rFonts w:ascii="Times New Roman" w:hAnsi="Times New Roman" w:cs="Times New Roman"/>
                <w:sz w:val="20"/>
                <w:szCs w:val="20"/>
                <w:lang w:eastAsia="cs-CZ"/>
              </w:rPr>
            </w:pPr>
            <w:r w:rsidRPr="009C43E3">
              <w:rPr>
                <w:rFonts w:ascii="Times New Roman" w:hAnsi="Times New Roman" w:cs="Times New Roman"/>
                <w:sz w:val="20"/>
                <w:szCs w:val="20"/>
                <w:lang w:eastAsia="cs-CZ"/>
              </w:rPr>
              <w:t>nie, neporušil</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53,7</w:t>
            </w:r>
          </w:p>
        </w:tc>
        <w:tc>
          <w:tcPr>
            <w:tcW w:w="1191" w:type="dxa"/>
            <w:shd w:val="clear" w:color="auto" w:fill="FFFFFF"/>
            <w:noWrap/>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60,2</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64,0</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78,4</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79,2</w:t>
            </w:r>
          </w:p>
        </w:tc>
      </w:tr>
      <w:tr w:rsidR="009C43E3" w:rsidRPr="009C43E3" w:rsidTr="00744108">
        <w:trPr>
          <w:trHeight w:hRule="exact" w:val="255"/>
        </w:trPr>
        <w:tc>
          <w:tcPr>
            <w:tcW w:w="3164" w:type="dxa"/>
            <w:shd w:val="clear" w:color="auto" w:fill="FFFFFF"/>
            <w:noWrap/>
            <w:vAlign w:val="center"/>
          </w:tcPr>
          <w:p w:rsidR="009C43E3" w:rsidRPr="009C43E3" w:rsidRDefault="009C43E3" w:rsidP="009C43E3">
            <w:pPr>
              <w:spacing w:after="0" w:line="240" w:lineRule="auto"/>
              <w:rPr>
                <w:rFonts w:ascii="Times New Roman" w:hAnsi="Times New Roman" w:cs="Times New Roman"/>
                <w:sz w:val="20"/>
                <w:szCs w:val="20"/>
                <w:lang w:eastAsia="cs-CZ"/>
              </w:rPr>
            </w:pPr>
            <w:r w:rsidRPr="009C43E3">
              <w:rPr>
                <w:rFonts w:ascii="Times New Roman" w:hAnsi="Times New Roman" w:cs="Times New Roman"/>
                <w:sz w:val="20"/>
                <w:szCs w:val="20"/>
                <w:lang w:eastAsia="cs-CZ"/>
              </w:rPr>
              <w:t>neviem</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35,5</w:t>
            </w:r>
          </w:p>
        </w:tc>
        <w:tc>
          <w:tcPr>
            <w:tcW w:w="1191" w:type="dxa"/>
            <w:shd w:val="clear" w:color="auto" w:fill="FFFFFF"/>
            <w:noWrap/>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34,3</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30,9</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19,7</w:t>
            </w:r>
          </w:p>
        </w:tc>
        <w:tc>
          <w:tcPr>
            <w:tcW w:w="1191" w:type="dxa"/>
            <w:shd w:val="clear" w:color="auto" w:fill="FFFFFF"/>
            <w:vAlign w:val="center"/>
          </w:tcPr>
          <w:p w:rsidR="009C43E3" w:rsidRPr="009C43E3" w:rsidRDefault="009C43E3" w:rsidP="009C43E3">
            <w:pPr>
              <w:spacing w:after="0" w:line="240" w:lineRule="auto"/>
              <w:jc w:val="center"/>
              <w:rPr>
                <w:rFonts w:ascii="Times New Roman" w:hAnsi="Times New Roman" w:cs="Times New Roman"/>
                <w:sz w:val="20"/>
                <w:szCs w:val="20"/>
                <w:lang w:eastAsia="cs-CZ"/>
              </w:rPr>
            </w:pPr>
            <w:r w:rsidRPr="009C43E3">
              <w:rPr>
                <w:rFonts w:ascii="Times New Roman" w:hAnsi="Times New Roman" w:cs="Times New Roman"/>
                <w:sz w:val="20"/>
                <w:szCs w:val="20"/>
                <w:lang w:eastAsia="cs-CZ"/>
              </w:rPr>
              <w:t>19,1</w:t>
            </w:r>
          </w:p>
        </w:tc>
      </w:tr>
    </w:tbl>
    <w:p w:rsidR="009C43E3" w:rsidRPr="009C43E3" w:rsidRDefault="009C43E3" w:rsidP="009C43E3">
      <w:pPr>
        <w:spacing w:after="0" w:line="240" w:lineRule="auto"/>
        <w:jc w:val="both"/>
        <w:rPr>
          <w:rFonts w:ascii="Times New Roman" w:hAnsi="Times New Roman" w:cs="Times New Roman"/>
          <w:sz w:val="20"/>
          <w:szCs w:val="20"/>
        </w:rPr>
      </w:pPr>
    </w:p>
    <w:p w:rsidR="00646294" w:rsidRPr="009C43E3" w:rsidRDefault="00646294" w:rsidP="009C43E3">
      <w:pPr>
        <w:pStyle w:val="Zarkazkladnhotextu2"/>
        <w:spacing w:after="0" w:line="240" w:lineRule="auto"/>
        <w:ind w:firstLine="360"/>
        <w:jc w:val="both"/>
        <w:rPr>
          <w:sz w:val="24"/>
          <w:szCs w:val="24"/>
        </w:rPr>
      </w:pPr>
    </w:p>
    <w:p w:rsidR="00456B2F" w:rsidRPr="00456B2F" w:rsidRDefault="00456B2F" w:rsidP="00456B2F">
      <w:pPr>
        <w:pStyle w:val="Nadpis3"/>
        <w:rPr>
          <w:color w:val="FF0000"/>
          <w:szCs w:val="24"/>
        </w:rPr>
      </w:pPr>
      <w:bookmarkStart w:id="8" w:name="_Toc441149745"/>
      <w:r w:rsidRPr="00456B2F">
        <w:rPr>
          <w:szCs w:val="24"/>
        </w:rPr>
        <w:t>Porušenie práv učiteľa žiakmi</w:t>
      </w:r>
      <w:bookmarkEnd w:id="8"/>
    </w:p>
    <w:p w:rsidR="00456B2F" w:rsidRPr="00456B2F" w:rsidRDefault="00456B2F" w:rsidP="00456B2F">
      <w:pPr>
        <w:spacing w:after="120" w:line="240" w:lineRule="auto"/>
        <w:jc w:val="both"/>
        <w:rPr>
          <w:rFonts w:ascii="Times New Roman" w:hAnsi="Times New Roman" w:cs="Times New Roman"/>
          <w:sz w:val="24"/>
          <w:szCs w:val="24"/>
        </w:rPr>
      </w:pPr>
      <w:r w:rsidRPr="00456B2F">
        <w:rPr>
          <w:rFonts w:ascii="Times New Roman" w:hAnsi="Times New Roman" w:cs="Times New Roman"/>
          <w:sz w:val="24"/>
          <w:szCs w:val="24"/>
        </w:rPr>
        <w:t>Súčasťou mapovania porušovania ľudský</w:t>
      </w:r>
      <w:r w:rsidR="00BA7F56">
        <w:rPr>
          <w:rFonts w:ascii="Times New Roman" w:hAnsi="Times New Roman" w:cs="Times New Roman"/>
          <w:sz w:val="24"/>
          <w:szCs w:val="24"/>
        </w:rPr>
        <w:t>ch práv v školskom prostredí bolo</w:t>
      </w:r>
      <w:r w:rsidRPr="00456B2F">
        <w:rPr>
          <w:rFonts w:ascii="Times New Roman" w:hAnsi="Times New Roman" w:cs="Times New Roman"/>
          <w:sz w:val="24"/>
          <w:szCs w:val="24"/>
        </w:rPr>
        <w:t xml:space="preserve"> okrem porušen</w:t>
      </w:r>
      <w:r w:rsidR="00BA7F56">
        <w:rPr>
          <w:rFonts w:ascii="Times New Roman" w:hAnsi="Times New Roman" w:cs="Times New Roman"/>
          <w:sz w:val="24"/>
          <w:szCs w:val="24"/>
        </w:rPr>
        <w:t>ia práv žiaka učiteľmi</w:t>
      </w:r>
      <w:r w:rsidRPr="00456B2F">
        <w:rPr>
          <w:rFonts w:ascii="Times New Roman" w:hAnsi="Times New Roman" w:cs="Times New Roman"/>
          <w:sz w:val="24"/>
          <w:szCs w:val="24"/>
        </w:rPr>
        <w:t xml:space="preserve"> aj porušenie práv učiteľa ž</w:t>
      </w:r>
      <w:r w:rsidR="00BA7F56">
        <w:rPr>
          <w:rFonts w:ascii="Times New Roman" w:hAnsi="Times New Roman" w:cs="Times New Roman"/>
          <w:sz w:val="24"/>
          <w:szCs w:val="24"/>
        </w:rPr>
        <w:t xml:space="preserve">iakmi. </w:t>
      </w:r>
      <w:r w:rsidR="00BA7F56" w:rsidRPr="00BA7F56">
        <w:rPr>
          <w:rFonts w:ascii="Times New Roman" w:hAnsi="Times New Roman" w:cs="Times New Roman"/>
          <w:b/>
          <w:sz w:val="24"/>
          <w:szCs w:val="24"/>
        </w:rPr>
        <w:t>P</w:t>
      </w:r>
      <w:r w:rsidRPr="00BA7F56">
        <w:rPr>
          <w:rFonts w:ascii="Times New Roman" w:hAnsi="Times New Roman" w:cs="Times New Roman"/>
          <w:b/>
          <w:sz w:val="24"/>
          <w:szCs w:val="24"/>
        </w:rPr>
        <w:t>o</w:t>
      </w:r>
      <w:r w:rsidRPr="00456B2F">
        <w:rPr>
          <w:rFonts w:ascii="Times New Roman" w:hAnsi="Times New Roman" w:cs="Times New Roman"/>
          <w:b/>
          <w:sz w:val="24"/>
          <w:szCs w:val="24"/>
        </w:rPr>
        <w:t>rušenie práv učiteľa zo strany žiakov</w:t>
      </w:r>
      <w:r w:rsidRPr="00456B2F">
        <w:rPr>
          <w:rFonts w:ascii="Times New Roman" w:hAnsi="Times New Roman" w:cs="Times New Roman"/>
          <w:sz w:val="24"/>
          <w:szCs w:val="24"/>
        </w:rPr>
        <w:t xml:space="preserve"> pripustil</w:t>
      </w:r>
      <w:r w:rsidR="00BA7F56">
        <w:rPr>
          <w:rFonts w:ascii="Times New Roman" w:hAnsi="Times New Roman" w:cs="Times New Roman"/>
          <w:sz w:val="24"/>
          <w:szCs w:val="24"/>
        </w:rPr>
        <w:t xml:space="preserve"> každý desiaty oslovený</w:t>
      </w:r>
      <w:r w:rsidRPr="00456B2F">
        <w:rPr>
          <w:rFonts w:ascii="Times New Roman" w:hAnsi="Times New Roman" w:cs="Times New Roman"/>
          <w:sz w:val="24"/>
          <w:szCs w:val="24"/>
        </w:rPr>
        <w:t xml:space="preserve"> a to 33 učiteľov, pričom len traja z nich problém aj konkretizovali. Jednalo sa o agresivitu zo strany žiaka, prípadne rodiča voči učiteľovi, posmešky a narážky. Až takmer 70 % oslovených učiteľov (243/67,5 %) </w:t>
      </w:r>
      <w:r w:rsidRPr="00456B2F">
        <w:rPr>
          <w:rFonts w:ascii="Times New Roman" w:hAnsi="Times New Roman" w:cs="Times New Roman"/>
          <w:b/>
          <w:sz w:val="24"/>
          <w:szCs w:val="24"/>
        </w:rPr>
        <w:t>porušenie práv učiteľa odmietlo</w:t>
      </w:r>
      <w:r w:rsidR="00BA7F56">
        <w:rPr>
          <w:rFonts w:ascii="Times New Roman" w:hAnsi="Times New Roman" w:cs="Times New Roman"/>
          <w:sz w:val="24"/>
          <w:szCs w:val="24"/>
        </w:rPr>
        <w:t xml:space="preserve"> a viac ako pätina</w:t>
      </w:r>
      <w:r w:rsidRPr="00456B2F">
        <w:rPr>
          <w:rFonts w:ascii="Times New Roman" w:hAnsi="Times New Roman" w:cs="Times New Roman"/>
          <w:sz w:val="24"/>
          <w:szCs w:val="24"/>
        </w:rPr>
        <w:t xml:space="preserve"> sa k problému </w:t>
      </w:r>
      <w:r w:rsidRPr="00456B2F">
        <w:rPr>
          <w:rFonts w:ascii="Times New Roman" w:hAnsi="Times New Roman" w:cs="Times New Roman"/>
          <w:b/>
          <w:sz w:val="24"/>
          <w:szCs w:val="24"/>
        </w:rPr>
        <w:t>nevedela alebo nechcela vyjadriť</w:t>
      </w:r>
      <w:r w:rsidRPr="00456B2F">
        <w:rPr>
          <w:rFonts w:ascii="Times New Roman" w:hAnsi="Times New Roman" w:cs="Times New Roman"/>
          <w:sz w:val="24"/>
          <w:szCs w:val="24"/>
        </w:rPr>
        <w:t>.</w:t>
      </w:r>
      <w:r w:rsidRPr="00456B2F">
        <w:rPr>
          <w:rFonts w:ascii="Times New Roman" w:hAnsi="Times New Roman" w:cs="Times New Roman"/>
          <w:color w:val="FF0000"/>
          <w:sz w:val="24"/>
          <w:szCs w:val="24"/>
        </w:rPr>
        <w:t xml:space="preserve"> </w:t>
      </w:r>
      <w:r w:rsidRPr="00456B2F">
        <w:rPr>
          <w:rFonts w:ascii="Times New Roman" w:hAnsi="Times New Roman" w:cs="Times New Roman"/>
          <w:sz w:val="24"/>
          <w:szCs w:val="24"/>
        </w:rPr>
        <w:t xml:space="preserve">Percentuálne rozloženie odpovedí učiteľov zobrazuje </w:t>
      </w:r>
      <w:r w:rsidR="00BA7F56" w:rsidRPr="00BA7F56">
        <w:rPr>
          <w:rFonts w:ascii="Times New Roman" w:hAnsi="Times New Roman" w:cs="Times New Roman"/>
          <w:sz w:val="24"/>
          <w:szCs w:val="24"/>
        </w:rPr>
        <w:t>graf 8</w:t>
      </w:r>
      <w:r w:rsidRPr="00BA7F56">
        <w:rPr>
          <w:rFonts w:ascii="Times New Roman" w:hAnsi="Times New Roman" w:cs="Times New Roman"/>
          <w:sz w:val="24"/>
          <w:szCs w:val="24"/>
        </w:rPr>
        <w:t>.</w:t>
      </w:r>
    </w:p>
    <w:p w:rsidR="002032B6" w:rsidRDefault="002032B6" w:rsidP="00456B2F">
      <w:pPr>
        <w:pStyle w:val="Zkladntext3"/>
        <w:spacing w:after="0" w:line="240" w:lineRule="auto"/>
        <w:jc w:val="both"/>
        <w:rPr>
          <w:rFonts w:ascii="Times New Roman" w:hAnsi="Times New Roman" w:cs="Times New Roman"/>
          <w:b/>
          <w:sz w:val="20"/>
          <w:szCs w:val="20"/>
        </w:rPr>
      </w:pPr>
    </w:p>
    <w:p w:rsidR="00456B2F" w:rsidRPr="00456B2F" w:rsidRDefault="00456B2F" w:rsidP="00456B2F">
      <w:pPr>
        <w:pStyle w:val="Zkladntext3"/>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Graf 8</w:t>
      </w:r>
      <w:r w:rsidRPr="00456B2F">
        <w:rPr>
          <w:rFonts w:ascii="Times New Roman" w:hAnsi="Times New Roman" w:cs="Times New Roman"/>
          <w:b/>
          <w:sz w:val="20"/>
          <w:szCs w:val="20"/>
        </w:rPr>
        <w:t xml:space="preserve"> Porušenie práv učiteľa žiakmi </w:t>
      </w:r>
    </w:p>
    <w:p w:rsidR="00456B2F" w:rsidRPr="00456B2F" w:rsidRDefault="00456B2F" w:rsidP="00456B2F">
      <w:pPr>
        <w:pStyle w:val="Zkladntext3"/>
        <w:spacing w:after="0" w:line="240" w:lineRule="auto"/>
        <w:jc w:val="both"/>
        <w:rPr>
          <w:rFonts w:ascii="Times New Roman" w:hAnsi="Times New Roman" w:cs="Times New Roman"/>
          <w:sz w:val="24"/>
          <w:szCs w:val="24"/>
        </w:rPr>
      </w:pPr>
      <w:r w:rsidRPr="00456B2F">
        <w:rPr>
          <w:rFonts w:ascii="Times New Roman" w:hAnsi="Times New Roman" w:cs="Times New Roman"/>
          <w:b/>
          <w:noProof/>
          <w:sz w:val="24"/>
          <w:szCs w:val="24"/>
          <w:lang w:eastAsia="sk-SK"/>
        </w:rPr>
        <w:drawing>
          <wp:inline distT="0" distB="0" distL="0" distR="0" wp14:anchorId="789904AE" wp14:editId="21557834">
            <wp:extent cx="5722620" cy="1203960"/>
            <wp:effectExtent l="0" t="0" r="0" b="0"/>
            <wp:docPr id="9" name="Graf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6B2F" w:rsidRPr="00456B2F" w:rsidRDefault="00456B2F" w:rsidP="00456B2F">
      <w:pPr>
        <w:pStyle w:val="Zkladntext3"/>
        <w:spacing w:after="0" w:line="240" w:lineRule="auto"/>
        <w:jc w:val="both"/>
        <w:rPr>
          <w:rFonts w:ascii="Times New Roman" w:hAnsi="Times New Roman" w:cs="Times New Roman"/>
          <w:sz w:val="24"/>
          <w:szCs w:val="24"/>
        </w:rPr>
      </w:pPr>
    </w:p>
    <w:p w:rsidR="00456B2F" w:rsidRPr="00456B2F" w:rsidRDefault="00456B2F" w:rsidP="00456B2F">
      <w:pPr>
        <w:pStyle w:val="Zkladntext3"/>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456B2F">
        <w:rPr>
          <w:rFonts w:ascii="Times New Roman" w:hAnsi="Times New Roman" w:cs="Times New Roman"/>
          <w:sz w:val="24"/>
          <w:szCs w:val="24"/>
        </w:rPr>
        <w:t xml:space="preserve">orušenie </w:t>
      </w:r>
      <w:r w:rsidR="00BA7F56">
        <w:rPr>
          <w:rFonts w:ascii="Times New Roman" w:hAnsi="Times New Roman" w:cs="Times New Roman"/>
          <w:sz w:val="24"/>
          <w:szCs w:val="24"/>
        </w:rPr>
        <w:t>práv učiteľa žiakom výrazne častejšie</w:t>
      </w:r>
      <w:r w:rsidRPr="00456B2F">
        <w:rPr>
          <w:rFonts w:ascii="Times New Roman" w:hAnsi="Times New Roman" w:cs="Times New Roman"/>
          <w:sz w:val="24"/>
          <w:szCs w:val="24"/>
        </w:rPr>
        <w:t xml:space="preserve"> pripustili oslovení zo základných šk</w:t>
      </w:r>
      <w:r w:rsidR="00BA7F56">
        <w:rPr>
          <w:rFonts w:ascii="Times New Roman" w:hAnsi="Times New Roman" w:cs="Times New Roman"/>
          <w:sz w:val="24"/>
          <w:szCs w:val="24"/>
        </w:rPr>
        <w:t>ôl (ZŠ 25/14,9 %, SŠ 10/5,2 %) a</w:t>
      </w:r>
      <w:r w:rsidRPr="00456B2F">
        <w:rPr>
          <w:rFonts w:ascii="Times New Roman" w:hAnsi="Times New Roman" w:cs="Times New Roman"/>
          <w:sz w:val="24"/>
          <w:szCs w:val="24"/>
        </w:rPr>
        <w:t xml:space="preserve"> súčasne aj vo vyššom percente volili odpov</w:t>
      </w:r>
      <w:r w:rsidR="00BA7F56">
        <w:rPr>
          <w:rFonts w:ascii="Times New Roman" w:hAnsi="Times New Roman" w:cs="Times New Roman"/>
          <w:sz w:val="24"/>
          <w:szCs w:val="24"/>
        </w:rPr>
        <w:t>eď neviem</w:t>
      </w:r>
      <w:r w:rsidRPr="00456B2F">
        <w:rPr>
          <w:rFonts w:ascii="Times New Roman" w:hAnsi="Times New Roman" w:cs="Times New Roman"/>
          <w:sz w:val="24"/>
          <w:szCs w:val="24"/>
        </w:rPr>
        <w:t xml:space="preserve">. </w:t>
      </w:r>
    </w:p>
    <w:p w:rsidR="00456B2F" w:rsidRPr="00456B2F" w:rsidRDefault="00456B2F" w:rsidP="00456B2F">
      <w:pPr>
        <w:spacing w:after="0" w:line="240" w:lineRule="auto"/>
        <w:jc w:val="both"/>
        <w:rPr>
          <w:rFonts w:ascii="Times New Roman" w:hAnsi="Times New Roman" w:cs="Times New Roman"/>
          <w:b/>
          <w:sz w:val="24"/>
          <w:szCs w:val="24"/>
        </w:rPr>
      </w:pPr>
    </w:p>
    <w:p w:rsidR="00456B2F" w:rsidRPr="00456B2F" w:rsidRDefault="00456B2F" w:rsidP="00456B2F">
      <w:pPr>
        <w:pStyle w:val="Zkladntext3"/>
        <w:spacing w:line="240" w:lineRule="auto"/>
        <w:jc w:val="both"/>
        <w:rPr>
          <w:rFonts w:ascii="Times New Roman" w:hAnsi="Times New Roman" w:cs="Times New Roman"/>
          <w:sz w:val="24"/>
          <w:szCs w:val="24"/>
        </w:rPr>
      </w:pPr>
      <w:r w:rsidRPr="00456B2F">
        <w:rPr>
          <w:rFonts w:ascii="Times New Roman" w:hAnsi="Times New Roman" w:cs="Times New Roman"/>
          <w:sz w:val="24"/>
          <w:szCs w:val="24"/>
        </w:rPr>
        <w:t xml:space="preserve">Zaujímavá skutočnosť sa potvrdila aj pri sledovaní porušovania práv učiteľa žiakmi za celé skúmané </w:t>
      </w:r>
      <w:r w:rsidRPr="00456B2F">
        <w:rPr>
          <w:rFonts w:ascii="Times New Roman" w:hAnsi="Times New Roman" w:cs="Times New Roman"/>
          <w:b/>
          <w:sz w:val="24"/>
          <w:szCs w:val="24"/>
        </w:rPr>
        <w:t>obdobie</w:t>
      </w:r>
      <w:r w:rsidRPr="00456B2F">
        <w:rPr>
          <w:rFonts w:ascii="Times New Roman" w:hAnsi="Times New Roman" w:cs="Times New Roman"/>
          <w:sz w:val="24"/>
          <w:szCs w:val="24"/>
        </w:rPr>
        <w:t xml:space="preserve"> </w:t>
      </w:r>
      <w:r w:rsidRPr="00456B2F">
        <w:rPr>
          <w:rFonts w:ascii="Times New Roman" w:hAnsi="Times New Roman" w:cs="Times New Roman"/>
          <w:b/>
          <w:sz w:val="24"/>
          <w:szCs w:val="24"/>
        </w:rPr>
        <w:t xml:space="preserve">rokov 2005, 2008, 2011, 2013 a 2015. </w:t>
      </w:r>
      <w:r w:rsidRPr="00456B2F">
        <w:rPr>
          <w:rFonts w:ascii="Times New Roman" w:hAnsi="Times New Roman" w:cs="Times New Roman"/>
          <w:sz w:val="24"/>
          <w:szCs w:val="24"/>
        </w:rPr>
        <w:t>Tak ako klesá porušenie práv žiaka učiteľom, tak klesá aj percento tých, ktorí sú presvedčení, že žia</w:t>
      </w:r>
      <w:r w:rsidR="00BA7F56">
        <w:rPr>
          <w:rFonts w:ascii="Times New Roman" w:hAnsi="Times New Roman" w:cs="Times New Roman"/>
          <w:sz w:val="24"/>
          <w:szCs w:val="24"/>
        </w:rPr>
        <w:t>ci porušili ich práva</w:t>
      </w:r>
      <w:r w:rsidRPr="00456B2F">
        <w:rPr>
          <w:rFonts w:ascii="Times New Roman" w:hAnsi="Times New Roman" w:cs="Times New Roman"/>
          <w:sz w:val="24"/>
          <w:szCs w:val="24"/>
        </w:rPr>
        <w:t xml:space="preserve">. A tak aj v tomto prípade zaznamenávane pozitívny trend vo vzťahu učiteľ, </w:t>
      </w:r>
      <w:r>
        <w:rPr>
          <w:rFonts w:ascii="Times New Roman" w:hAnsi="Times New Roman" w:cs="Times New Roman"/>
          <w:sz w:val="24"/>
          <w:szCs w:val="24"/>
        </w:rPr>
        <w:t xml:space="preserve">žiak. </w:t>
      </w:r>
    </w:p>
    <w:p w:rsidR="00456B2F" w:rsidRPr="00456B2F" w:rsidRDefault="00456B2F" w:rsidP="00456B2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Tabuľka </w:t>
      </w:r>
      <w:r w:rsidRPr="00456B2F">
        <w:rPr>
          <w:rFonts w:ascii="Times New Roman" w:hAnsi="Times New Roman" w:cs="Times New Roman"/>
          <w:b/>
          <w:sz w:val="20"/>
          <w:szCs w:val="20"/>
        </w:rPr>
        <w:t>6 Porušenie práv učiteľa žiakmi – porovnanie údajov (v %)</w:t>
      </w:r>
    </w:p>
    <w:tbl>
      <w:tblPr>
        <w:tblW w:w="4955" w:type="pct"/>
        <w:tblCellMar>
          <w:left w:w="70" w:type="dxa"/>
          <w:right w:w="70" w:type="dxa"/>
        </w:tblCellMar>
        <w:tblLook w:val="0000" w:firstRow="0" w:lastRow="0" w:firstColumn="0" w:lastColumn="0" w:noHBand="0" w:noVBand="0"/>
      </w:tblPr>
      <w:tblGrid>
        <w:gridCol w:w="3459"/>
        <w:gridCol w:w="1136"/>
        <w:gridCol w:w="1134"/>
        <w:gridCol w:w="1134"/>
        <w:gridCol w:w="1134"/>
        <w:gridCol w:w="1132"/>
      </w:tblGrid>
      <w:tr w:rsidR="00456B2F" w:rsidRPr="00456B2F" w:rsidTr="00744108">
        <w:trPr>
          <w:trHeight w:hRule="exact" w:val="255"/>
        </w:trPr>
        <w:tc>
          <w:tcPr>
            <w:tcW w:w="1894" w:type="pct"/>
            <w:tcBorders>
              <w:top w:val="single" w:sz="4" w:space="0" w:color="auto"/>
              <w:left w:val="single" w:sz="4" w:space="0" w:color="auto"/>
              <w:bottom w:val="single" w:sz="4" w:space="0" w:color="auto"/>
              <w:right w:val="single" w:sz="4" w:space="0" w:color="auto"/>
            </w:tcBorders>
            <w:shd w:val="clear" w:color="auto" w:fill="B8CCE4"/>
            <w:noWrap/>
            <w:vAlign w:val="bottom"/>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 </w:t>
            </w:r>
          </w:p>
        </w:tc>
        <w:tc>
          <w:tcPr>
            <w:tcW w:w="622" w:type="pct"/>
            <w:tcBorders>
              <w:top w:val="single" w:sz="4" w:space="0" w:color="auto"/>
              <w:left w:val="nil"/>
              <w:bottom w:val="single" w:sz="4" w:space="0" w:color="auto"/>
              <w:right w:val="single" w:sz="4" w:space="0" w:color="auto"/>
            </w:tcBorders>
            <w:shd w:val="clear" w:color="auto" w:fill="B8CCE4"/>
            <w:noWrap/>
            <w:vAlign w:val="center"/>
          </w:tcPr>
          <w:p w:rsidR="00456B2F" w:rsidRPr="00741CCA" w:rsidRDefault="00456B2F" w:rsidP="00456B2F">
            <w:pPr>
              <w:spacing w:after="0" w:line="240" w:lineRule="auto"/>
              <w:jc w:val="both"/>
              <w:rPr>
                <w:rFonts w:ascii="Times New Roman" w:hAnsi="Times New Roman" w:cs="Times New Roman"/>
                <w:b/>
                <w:sz w:val="20"/>
                <w:szCs w:val="20"/>
                <w:lang w:eastAsia="cs-CZ"/>
              </w:rPr>
            </w:pPr>
            <w:r w:rsidRPr="00741CCA">
              <w:rPr>
                <w:rFonts w:ascii="Times New Roman" w:hAnsi="Times New Roman" w:cs="Times New Roman"/>
                <w:b/>
                <w:sz w:val="20"/>
                <w:szCs w:val="20"/>
                <w:lang w:eastAsia="cs-CZ"/>
              </w:rPr>
              <w:t>2005</w:t>
            </w:r>
          </w:p>
        </w:tc>
        <w:tc>
          <w:tcPr>
            <w:tcW w:w="621" w:type="pct"/>
            <w:tcBorders>
              <w:top w:val="single" w:sz="4" w:space="0" w:color="auto"/>
              <w:left w:val="nil"/>
              <w:bottom w:val="single" w:sz="4" w:space="0" w:color="auto"/>
              <w:right w:val="single" w:sz="4" w:space="0" w:color="auto"/>
            </w:tcBorders>
            <w:shd w:val="clear" w:color="auto" w:fill="B8CCE4"/>
            <w:noWrap/>
            <w:vAlign w:val="center"/>
          </w:tcPr>
          <w:p w:rsidR="00456B2F" w:rsidRPr="00741CCA" w:rsidRDefault="00456B2F" w:rsidP="00456B2F">
            <w:pPr>
              <w:spacing w:after="0" w:line="240" w:lineRule="auto"/>
              <w:jc w:val="both"/>
              <w:rPr>
                <w:rFonts w:ascii="Times New Roman" w:hAnsi="Times New Roman" w:cs="Times New Roman"/>
                <w:b/>
                <w:sz w:val="20"/>
                <w:szCs w:val="20"/>
                <w:lang w:eastAsia="cs-CZ"/>
              </w:rPr>
            </w:pPr>
            <w:r w:rsidRPr="00741CCA">
              <w:rPr>
                <w:rFonts w:ascii="Times New Roman" w:hAnsi="Times New Roman" w:cs="Times New Roman"/>
                <w:b/>
                <w:sz w:val="20"/>
                <w:szCs w:val="20"/>
                <w:lang w:eastAsia="cs-CZ"/>
              </w:rPr>
              <w:t>2008</w:t>
            </w:r>
          </w:p>
        </w:tc>
        <w:tc>
          <w:tcPr>
            <w:tcW w:w="621" w:type="pct"/>
            <w:tcBorders>
              <w:top w:val="single" w:sz="4" w:space="0" w:color="auto"/>
              <w:left w:val="nil"/>
              <w:bottom w:val="single" w:sz="4" w:space="0" w:color="auto"/>
              <w:right w:val="single" w:sz="4" w:space="0" w:color="auto"/>
            </w:tcBorders>
            <w:shd w:val="clear" w:color="auto" w:fill="B8CCE4"/>
            <w:vAlign w:val="center"/>
          </w:tcPr>
          <w:p w:rsidR="00456B2F" w:rsidRPr="00741CCA" w:rsidRDefault="00456B2F" w:rsidP="00456B2F">
            <w:pPr>
              <w:spacing w:after="0" w:line="240" w:lineRule="auto"/>
              <w:jc w:val="both"/>
              <w:rPr>
                <w:rFonts w:ascii="Times New Roman" w:hAnsi="Times New Roman" w:cs="Times New Roman"/>
                <w:b/>
                <w:sz w:val="20"/>
                <w:szCs w:val="20"/>
                <w:lang w:eastAsia="cs-CZ"/>
              </w:rPr>
            </w:pPr>
            <w:r w:rsidRPr="00741CCA">
              <w:rPr>
                <w:rFonts w:ascii="Times New Roman" w:hAnsi="Times New Roman" w:cs="Times New Roman"/>
                <w:b/>
                <w:sz w:val="20"/>
                <w:szCs w:val="20"/>
                <w:lang w:eastAsia="cs-CZ"/>
              </w:rPr>
              <w:t>2011</w:t>
            </w:r>
          </w:p>
        </w:tc>
        <w:tc>
          <w:tcPr>
            <w:tcW w:w="621" w:type="pct"/>
            <w:tcBorders>
              <w:top w:val="single" w:sz="4" w:space="0" w:color="auto"/>
              <w:left w:val="nil"/>
              <w:bottom w:val="single" w:sz="4" w:space="0" w:color="auto"/>
              <w:right w:val="single" w:sz="4" w:space="0" w:color="auto"/>
            </w:tcBorders>
            <w:shd w:val="clear" w:color="auto" w:fill="B8CCE4"/>
            <w:vAlign w:val="center"/>
          </w:tcPr>
          <w:p w:rsidR="00456B2F" w:rsidRPr="00741CCA" w:rsidRDefault="00456B2F" w:rsidP="00456B2F">
            <w:pPr>
              <w:spacing w:after="0" w:line="240" w:lineRule="auto"/>
              <w:jc w:val="both"/>
              <w:rPr>
                <w:rFonts w:ascii="Times New Roman" w:hAnsi="Times New Roman" w:cs="Times New Roman"/>
                <w:b/>
                <w:sz w:val="20"/>
                <w:szCs w:val="20"/>
                <w:lang w:eastAsia="cs-CZ"/>
              </w:rPr>
            </w:pPr>
            <w:r w:rsidRPr="00741CCA">
              <w:rPr>
                <w:rFonts w:ascii="Times New Roman" w:hAnsi="Times New Roman" w:cs="Times New Roman"/>
                <w:b/>
                <w:sz w:val="20"/>
                <w:szCs w:val="20"/>
                <w:lang w:eastAsia="cs-CZ"/>
              </w:rPr>
              <w:t>2013</w:t>
            </w:r>
          </w:p>
        </w:tc>
        <w:tc>
          <w:tcPr>
            <w:tcW w:w="620" w:type="pct"/>
            <w:tcBorders>
              <w:top w:val="single" w:sz="4" w:space="0" w:color="auto"/>
              <w:left w:val="nil"/>
              <w:bottom w:val="single" w:sz="4" w:space="0" w:color="auto"/>
              <w:right w:val="single" w:sz="4" w:space="0" w:color="auto"/>
            </w:tcBorders>
            <w:shd w:val="clear" w:color="auto" w:fill="B8CCE4"/>
            <w:vAlign w:val="center"/>
          </w:tcPr>
          <w:p w:rsidR="00456B2F" w:rsidRPr="00741CCA" w:rsidRDefault="00456B2F" w:rsidP="00456B2F">
            <w:pPr>
              <w:spacing w:after="0" w:line="240" w:lineRule="auto"/>
              <w:jc w:val="both"/>
              <w:rPr>
                <w:rFonts w:ascii="Times New Roman" w:hAnsi="Times New Roman" w:cs="Times New Roman"/>
                <w:b/>
                <w:sz w:val="20"/>
                <w:szCs w:val="20"/>
                <w:lang w:eastAsia="cs-CZ"/>
              </w:rPr>
            </w:pPr>
            <w:r w:rsidRPr="00741CCA">
              <w:rPr>
                <w:rFonts w:ascii="Times New Roman" w:hAnsi="Times New Roman" w:cs="Times New Roman"/>
                <w:b/>
                <w:sz w:val="20"/>
                <w:szCs w:val="20"/>
                <w:lang w:eastAsia="cs-CZ"/>
              </w:rPr>
              <w:t>2015</w:t>
            </w:r>
          </w:p>
        </w:tc>
      </w:tr>
      <w:tr w:rsidR="00456B2F" w:rsidRPr="00456B2F" w:rsidTr="00744108">
        <w:trPr>
          <w:trHeight w:hRule="exact" w:val="255"/>
        </w:trPr>
        <w:tc>
          <w:tcPr>
            <w:tcW w:w="1894" w:type="pct"/>
            <w:tcBorders>
              <w:top w:val="nil"/>
              <w:left w:val="single" w:sz="4" w:space="0" w:color="auto"/>
              <w:bottom w:val="single" w:sz="4" w:space="0" w:color="auto"/>
              <w:right w:val="single" w:sz="4" w:space="0" w:color="auto"/>
            </w:tcBorders>
            <w:shd w:val="clear" w:color="auto" w:fill="FFFFFF"/>
            <w:noWrap/>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áno</w:t>
            </w:r>
          </w:p>
        </w:tc>
        <w:tc>
          <w:tcPr>
            <w:tcW w:w="622" w:type="pct"/>
            <w:tcBorders>
              <w:top w:val="nil"/>
              <w:left w:val="nil"/>
              <w:bottom w:val="single" w:sz="4" w:space="0" w:color="auto"/>
              <w:right w:val="single" w:sz="4" w:space="0" w:color="auto"/>
            </w:tcBorders>
            <w:shd w:val="clear" w:color="auto" w:fill="FFFFFF"/>
            <w:noWrap/>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23,1</w:t>
            </w:r>
          </w:p>
        </w:tc>
        <w:tc>
          <w:tcPr>
            <w:tcW w:w="621" w:type="pct"/>
            <w:tcBorders>
              <w:top w:val="nil"/>
              <w:left w:val="nil"/>
              <w:bottom w:val="single" w:sz="4" w:space="0" w:color="auto"/>
              <w:right w:val="single" w:sz="4" w:space="0" w:color="auto"/>
            </w:tcBorders>
            <w:shd w:val="clear" w:color="auto" w:fill="FFFFFF"/>
            <w:noWrap/>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21,7</w:t>
            </w:r>
          </w:p>
        </w:tc>
        <w:tc>
          <w:tcPr>
            <w:tcW w:w="621" w:type="pct"/>
            <w:tcBorders>
              <w:top w:val="nil"/>
              <w:left w:val="nil"/>
              <w:bottom w:val="single" w:sz="4" w:space="0" w:color="auto"/>
              <w:right w:val="single" w:sz="4" w:space="0" w:color="auto"/>
            </w:tcBorders>
            <w:shd w:val="clear" w:color="auto" w:fill="FFFFFF"/>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19,3</w:t>
            </w:r>
          </w:p>
        </w:tc>
        <w:tc>
          <w:tcPr>
            <w:tcW w:w="621" w:type="pct"/>
            <w:tcBorders>
              <w:top w:val="nil"/>
              <w:left w:val="nil"/>
              <w:bottom w:val="single" w:sz="4" w:space="0" w:color="auto"/>
              <w:right w:val="single" w:sz="4" w:space="0" w:color="auto"/>
            </w:tcBorders>
            <w:shd w:val="clear" w:color="auto" w:fill="FFFFFF"/>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13,2</w:t>
            </w:r>
          </w:p>
        </w:tc>
        <w:tc>
          <w:tcPr>
            <w:tcW w:w="620" w:type="pct"/>
            <w:tcBorders>
              <w:top w:val="nil"/>
              <w:left w:val="nil"/>
              <w:bottom w:val="single" w:sz="4" w:space="0" w:color="auto"/>
              <w:right w:val="single" w:sz="4" w:space="0" w:color="auto"/>
            </w:tcBorders>
            <w:shd w:val="clear" w:color="auto" w:fill="FFFFFF"/>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10,0</w:t>
            </w:r>
          </w:p>
        </w:tc>
      </w:tr>
      <w:tr w:rsidR="00456B2F" w:rsidRPr="00456B2F" w:rsidTr="00744108">
        <w:trPr>
          <w:trHeight w:hRule="exact" w:val="255"/>
        </w:trPr>
        <w:tc>
          <w:tcPr>
            <w:tcW w:w="1894" w:type="pct"/>
            <w:tcBorders>
              <w:top w:val="nil"/>
              <w:left w:val="single" w:sz="4" w:space="0" w:color="auto"/>
              <w:bottom w:val="single" w:sz="4" w:space="0" w:color="auto"/>
              <w:right w:val="single" w:sz="4" w:space="0" w:color="auto"/>
            </w:tcBorders>
            <w:shd w:val="clear" w:color="auto" w:fill="FFFFFF"/>
            <w:noWrap/>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nie</w:t>
            </w:r>
          </w:p>
        </w:tc>
        <w:tc>
          <w:tcPr>
            <w:tcW w:w="622" w:type="pct"/>
            <w:tcBorders>
              <w:top w:val="nil"/>
              <w:left w:val="nil"/>
              <w:bottom w:val="single" w:sz="4" w:space="0" w:color="auto"/>
              <w:right w:val="single" w:sz="4" w:space="0" w:color="auto"/>
            </w:tcBorders>
            <w:shd w:val="clear" w:color="auto" w:fill="FFFFFF"/>
            <w:noWrap/>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52,9</w:t>
            </w:r>
          </w:p>
        </w:tc>
        <w:tc>
          <w:tcPr>
            <w:tcW w:w="621" w:type="pct"/>
            <w:tcBorders>
              <w:top w:val="nil"/>
              <w:left w:val="nil"/>
              <w:bottom w:val="single" w:sz="4" w:space="0" w:color="auto"/>
              <w:right w:val="single" w:sz="4" w:space="0" w:color="auto"/>
            </w:tcBorders>
            <w:shd w:val="clear" w:color="auto" w:fill="FFFFFF"/>
            <w:noWrap/>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48,9</w:t>
            </w:r>
          </w:p>
        </w:tc>
        <w:tc>
          <w:tcPr>
            <w:tcW w:w="621" w:type="pct"/>
            <w:tcBorders>
              <w:top w:val="nil"/>
              <w:left w:val="nil"/>
              <w:bottom w:val="single" w:sz="4" w:space="0" w:color="auto"/>
              <w:right w:val="single" w:sz="4" w:space="0" w:color="auto"/>
            </w:tcBorders>
            <w:shd w:val="clear" w:color="auto" w:fill="FFFFFF"/>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53,2</w:t>
            </w:r>
          </w:p>
        </w:tc>
        <w:tc>
          <w:tcPr>
            <w:tcW w:w="621" w:type="pct"/>
            <w:tcBorders>
              <w:top w:val="nil"/>
              <w:left w:val="nil"/>
              <w:bottom w:val="single" w:sz="4" w:space="0" w:color="auto"/>
              <w:right w:val="single" w:sz="4" w:space="0" w:color="auto"/>
            </w:tcBorders>
            <w:shd w:val="clear" w:color="auto" w:fill="FFFFFF"/>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66,1</w:t>
            </w:r>
          </w:p>
        </w:tc>
        <w:tc>
          <w:tcPr>
            <w:tcW w:w="620" w:type="pct"/>
            <w:tcBorders>
              <w:top w:val="nil"/>
              <w:left w:val="nil"/>
              <w:bottom w:val="single" w:sz="4" w:space="0" w:color="auto"/>
              <w:right w:val="single" w:sz="4" w:space="0" w:color="auto"/>
            </w:tcBorders>
            <w:shd w:val="clear" w:color="auto" w:fill="FFFFFF"/>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67,5</w:t>
            </w:r>
          </w:p>
        </w:tc>
      </w:tr>
      <w:tr w:rsidR="00456B2F" w:rsidRPr="00456B2F" w:rsidTr="00744108">
        <w:trPr>
          <w:trHeight w:hRule="exact" w:val="255"/>
        </w:trPr>
        <w:tc>
          <w:tcPr>
            <w:tcW w:w="1894" w:type="pct"/>
            <w:tcBorders>
              <w:top w:val="nil"/>
              <w:left w:val="single" w:sz="4" w:space="0" w:color="auto"/>
              <w:bottom w:val="single" w:sz="4" w:space="0" w:color="auto"/>
              <w:right w:val="single" w:sz="4" w:space="0" w:color="auto"/>
            </w:tcBorders>
            <w:shd w:val="clear" w:color="auto" w:fill="FFFFFF"/>
            <w:noWrap/>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neviem</w:t>
            </w:r>
          </w:p>
        </w:tc>
        <w:tc>
          <w:tcPr>
            <w:tcW w:w="622" w:type="pct"/>
            <w:tcBorders>
              <w:top w:val="nil"/>
              <w:left w:val="nil"/>
              <w:bottom w:val="single" w:sz="4" w:space="0" w:color="auto"/>
              <w:right w:val="single" w:sz="4" w:space="0" w:color="auto"/>
            </w:tcBorders>
            <w:shd w:val="clear" w:color="auto" w:fill="FFFFFF"/>
            <w:noWrap/>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23,1</w:t>
            </w:r>
          </w:p>
        </w:tc>
        <w:tc>
          <w:tcPr>
            <w:tcW w:w="621" w:type="pct"/>
            <w:tcBorders>
              <w:top w:val="nil"/>
              <w:left w:val="nil"/>
              <w:bottom w:val="single" w:sz="4" w:space="0" w:color="auto"/>
              <w:right w:val="single" w:sz="4" w:space="0" w:color="auto"/>
            </w:tcBorders>
            <w:shd w:val="clear" w:color="auto" w:fill="FFFFFF"/>
            <w:noWrap/>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29,5</w:t>
            </w:r>
          </w:p>
        </w:tc>
        <w:tc>
          <w:tcPr>
            <w:tcW w:w="621" w:type="pct"/>
            <w:tcBorders>
              <w:top w:val="nil"/>
              <w:left w:val="nil"/>
              <w:bottom w:val="single" w:sz="4" w:space="0" w:color="auto"/>
              <w:right w:val="single" w:sz="4" w:space="0" w:color="auto"/>
            </w:tcBorders>
            <w:shd w:val="clear" w:color="auto" w:fill="FFFFFF"/>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27,5</w:t>
            </w:r>
          </w:p>
        </w:tc>
        <w:tc>
          <w:tcPr>
            <w:tcW w:w="621" w:type="pct"/>
            <w:tcBorders>
              <w:top w:val="nil"/>
              <w:left w:val="nil"/>
              <w:bottom w:val="single" w:sz="4" w:space="0" w:color="auto"/>
              <w:right w:val="single" w:sz="4" w:space="0" w:color="auto"/>
            </w:tcBorders>
            <w:shd w:val="clear" w:color="auto" w:fill="FFFFFF"/>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20,7</w:t>
            </w:r>
          </w:p>
        </w:tc>
        <w:tc>
          <w:tcPr>
            <w:tcW w:w="620" w:type="pct"/>
            <w:tcBorders>
              <w:top w:val="nil"/>
              <w:left w:val="nil"/>
              <w:bottom w:val="single" w:sz="4" w:space="0" w:color="auto"/>
              <w:right w:val="single" w:sz="4" w:space="0" w:color="auto"/>
            </w:tcBorders>
            <w:shd w:val="clear" w:color="auto" w:fill="FFFFFF"/>
            <w:vAlign w:val="center"/>
          </w:tcPr>
          <w:p w:rsidR="00456B2F" w:rsidRPr="00741CCA" w:rsidRDefault="00456B2F" w:rsidP="00456B2F">
            <w:pPr>
              <w:spacing w:after="0" w:line="240" w:lineRule="auto"/>
              <w:jc w:val="both"/>
              <w:rPr>
                <w:rFonts w:ascii="Times New Roman" w:hAnsi="Times New Roman" w:cs="Times New Roman"/>
                <w:sz w:val="20"/>
                <w:szCs w:val="20"/>
                <w:lang w:eastAsia="cs-CZ"/>
              </w:rPr>
            </w:pPr>
            <w:r w:rsidRPr="00741CCA">
              <w:rPr>
                <w:rFonts w:ascii="Times New Roman" w:hAnsi="Times New Roman" w:cs="Times New Roman"/>
                <w:sz w:val="20"/>
                <w:szCs w:val="20"/>
                <w:lang w:eastAsia="cs-CZ"/>
              </w:rPr>
              <w:t>22,5</w:t>
            </w:r>
          </w:p>
        </w:tc>
      </w:tr>
    </w:tbl>
    <w:p w:rsidR="00646294" w:rsidRPr="00456B2F" w:rsidRDefault="00646294" w:rsidP="00456B2F">
      <w:pPr>
        <w:pStyle w:val="Zarkazkladnhotextu2"/>
        <w:spacing w:after="0" w:line="240" w:lineRule="auto"/>
        <w:ind w:left="0"/>
        <w:jc w:val="both"/>
        <w:rPr>
          <w:sz w:val="24"/>
          <w:szCs w:val="24"/>
        </w:rPr>
      </w:pPr>
    </w:p>
    <w:p w:rsidR="007375F7" w:rsidRPr="003141D8" w:rsidRDefault="007375F7" w:rsidP="007375F7">
      <w:pPr>
        <w:pStyle w:val="Nadpis3"/>
      </w:pPr>
      <w:bookmarkStart w:id="9" w:name="_Toc441149746"/>
    </w:p>
    <w:p w:rsidR="007375F7" w:rsidRPr="007375F7" w:rsidRDefault="007375F7" w:rsidP="007375F7">
      <w:pPr>
        <w:pStyle w:val="Nadpis3"/>
        <w:jc w:val="both"/>
        <w:rPr>
          <w:szCs w:val="24"/>
        </w:rPr>
      </w:pPr>
      <w:r w:rsidRPr="007375F7">
        <w:rPr>
          <w:szCs w:val="24"/>
        </w:rPr>
        <w:t>Typy porušenia ľudských práv v školskom prostredí</w:t>
      </w:r>
      <w:bookmarkEnd w:id="9"/>
      <w:r w:rsidRPr="007375F7">
        <w:rPr>
          <w:szCs w:val="24"/>
        </w:rPr>
        <w:t xml:space="preserve"> </w:t>
      </w:r>
    </w:p>
    <w:p w:rsidR="007375F7" w:rsidRPr="007375F7" w:rsidRDefault="007375F7" w:rsidP="007375F7">
      <w:pPr>
        <w:spacing w:after="120" w:line="240" w:lineRule="auto"/>
        <w:jc w:val="both"/>
        <w:rPr>
          <w:rFonts w:ascii="Times New Roman" w:hAnsi="Times New Roman" w:cs="Times New Roman"/>
          <w:sz w:val="24"/>
          <w:szCs w:val="24"/>
        </w:rPr>
      </w:pPr>
      <w:r w:rsidRPr="007375F7">
        <w:rPr>
          <w:rFonts w:ascii="Times New Roman" w:hAnsi="Times New Roman" w:cs="Times New Roman"/>
          <w:sz w:val="24"/>
          <w:szCs w:val="24"/>
        </w:rPr>
        <w:t>Okrem sledovania porušovania práv učiteľa žiakmi a práv žiaka učiteľmi, sme vo výskume všeobecne zisťovali, s akými typmi porušenia ľudských práv sa učitelia základných a stredných škôl v škole stretli. Od respondentov, učiteľov vyučujúcich problematiku ľudských práv v základných a stredných školách sme získali 204 odpove</w:t>
      </w:r>
      <w:r w:rsidR="008B31CB">
        <w:rPr>
          <w:rFonts w:ascii="Times New Roman" w:hAnsi="Times New Roman" w:cs="Times New Roman"/>
          <w:sz w:val="24"/>
          <w:szCs w:val="24"/>
        </w:rPr>
        <w:t xml:space="preserve">dí. Štvrtina oslovených </w:t>
      </w:r>
      <w:r w:rsidRPr="007375F7">
        <w:rPr>
          <w:rFonts w:ascii="Times New Roman" w:hAnsi="Times New Roman" w:cs="Times New Roman"/>
          <w:sz w:val="24"/>
          <w:szCs w:val="24"/>
        </w:rPr>
        <w:t xml:space="preserve"> sa s </w:t>
      </w:r>
      <w:r w:rsidRPr="007375F7">
        <w:rPr>
          <w:rFonts w:ascii="Times New Roman" w:hAnsi="Times New Roman" w:cs="Times New Roman"/>
          <w:b/>
          <w:sz w:val="24"/>
          <w:szCs w:val="24"/>
        </w:rPr>
        <w:t>porušením ľudských práv v škole nestretla</w:t>
      </w:r>
      <w:r w:rsidRPr="007375F7">
        <w:rPr>
          <w:rFonts w:ascii="Times New Roman" w:hAnsi="Times New Roman" w:cs="Times New Roman"/>
          <w:sz w:val="24"/>
          <w:szCs w:val="24"/>
        </w:rPr>
        <w:t xml:space="preserve"> a 3,5 % </w:t>
      </w:r>
      <w:r w:rsidRPr="007375F7">
        <w:rPr>
          <w:rFonts w:ascii="Times New Roman" w:hAnsi="Times New Roman" w:cs="Times New Roman"/>
          <w:b/>
          <w:sz w:val="24"/>
          <w:szCs w:val="24"/>
        </w:rPr>
        <w:t>nevedela k problému zaujať stanovisko</w:t>
      </w:r>
      <w:r w:rsidRPr="007375F7">
        <w:rPr>
          <w:rFonts w:ascii="Times New Roman" w:hAnsi="Times New Roman" w:cs="Times New Roman"/>
          <w:sz w:val="24"/>
          <w:szCs w:val="24"/>
        </w:rPr>
        <w:t xml:space="preserve">. Približne každý druhý respondent však na otázku </w:t>
      </w:r>
      <w:r w:rsidRPr="007375F7">
        <w:rPr>
          <w:rFonts w:ascii="Times New Roman" w:hAnsi="Times New Roman" w:cs="Times New Roman"/>
          <w:b/>
          <w:sz w:val="24"/>
          <w:szCs w:val="24"/>
        </w:rPr>
        <w:t>neodpovedal</w:t>
      </w:r>
      <w:r w:rsidRPr="007375F7">
        <w:rPr>
          <w:rFonts w:ascii="Times New Roman" w:hAnsi="Times New Roman" w:cs="Times New Roman"/>
          <w:sz w:val="24"/>
          <w:szCs w:val="24"/>
        </w:rPr>
        <w:t>. Najvyššie percento oslovených poukázalo na prejavy šikanovania a to takmer 40 % (38,8 %), 20,0 % na diskrimináciu v prostredí školy, 8,8 % na porušenie práva na slobodu prejavu a 7,6 % učiteľov priznalo násilie, bitky a fyzické tresty. Pod hranicou 5 % sa vo výpovediach skúmaných pedagógov objavilo ps</w:t>
      </w:r>
      <w:r w:rsidR="008B31CB">
        <w:rPr>
          <w:rFonts w:ascii="Times New Roman" w:hAnsi="Times New Roman" w:cs="Times New Roman"/>
          <w:sz w:val="24"/>
          <w:szCs w:val="24"/>
        </w:rPr>
        <w:t>ychické týranie a tresty</w:t>
      </w:r>
      <w:r w:rsidRPr="007375F7">
        <w:rPr>
          <w:rFonts w:ascii="Times New Roman" w:hAnsi="Times New Roman" w:cs="Times New Roman"/>
          <w:sz w:val="24"/>
          <w:szCs w:val="24"/>
        </w:rPr>
        <w:t xml:space="preserve">, porušenie práva </w:t>
      </w:r>
      <w:r w:rsidR="008B31CB">
        <w:rPr>
          <w:rFonts w:ascii="Times New Roman" w:hAnsi="Times New Roman" w:cs="Times New Roman"/>
          <w:sz w:val="24"/>
          <w:szCs w:val="24"/>
        </w:rPr>
        <w:t>učiteľa zo strany žiakov</w:t>
      </w:r>
      <w:r w:rsidRPr="007375F7">
        <w:rPr>
          <w:rFonts w:ascii="Times New Roman" w:hAnsi="Times New Roman" w:cs="Times New Roman"/>
          <w:sz w:val="24"/>
          <w:szCs w:val="24"/>
        </w:rPr>
        <w:t>, n</w:t>
      </w:r>
      <w:r w:rsidR="008B31CB">
        <w:rPr>
          <w:rFonts w:ascii="Times New Roman" w:hAnsi="Times New Roman" w:cs="Times New Roman"/>
          <w:sz w:val="24"/>
          <w:szCs w:val="24"/>
        </w:rPr>
        <w:t>espravodlivé ohodnotenie</w:t>
      </w:r>
      <w:r w:rsidRPr="007375F7">
        <w:rPr>
          <w:rFonts w:ascii="Times New Roman" w:hAnsi="Times New Roman" w:cs="Times New Roman"/>
          <w:sz w:val="24"/>
          <w:szCs w:val="24"/>
        </w:rPr>
        <w:t xml:space="preserve"> a iné nešpecifikované typy porušenia ľudskýc</w:t>
      </w:r>
      <w:r w:rsidR="008B31CB">
        <w:rPr>
          <w:rFonts w:ascii="Times New Roman" w:hAnsi="Times New Roman" w:cs="Times New Roman"/>
          <w:sz w:val="24"/>
          <w:szCs w:val="24"/>
        </w:rPr>
        <w:t>h práv</w:t>
      </w:r>
      <w:r>
        <w:rPr>
          <w:rFonts w:ascii="Times New Roman" w:hAnsi="Times New Roman" w:cs="Times New Roman"/>
          <w:sz w:val="24"/>
          <w:szCs w:val="24"/>
        </w:rPr>
        <w:t>.</w:t>
      </w:r>
    </w:p>
    <w:p w:rsidR="007375F7" w:rsidRPr="007375F7" w:rsidRDefault="007375F7" w:rsidP="007375F7">
      <w:pPr>
        <w:pStyle w:val="Zkladntext3"/>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Graf 9</w:t>
      </w:r>
      <w:r w:rsidRPr="007375F7">
        <w:rPr>
          <w:rFonts w:ascii="Times New Roman" w:hAnsi="Times New Roman" w:cs="Times New Roman"/>
          <w:b/>
          <w:sz w:val="20"/>
          <w:szCs w:val="20"/>
        </w:rPr>
        <w:t xml:space="preserve"> Typy porušenia ľudských práv </w:t>
      </w:r>
    </w:p>
    <w:p w:rsidR="007375F7" w:rsidRPr="007375F7" w:rsidRDefault="007375F7" w:rsidP="007375F7">
      <w:pPr>
        <w:tabs>
          <w:tab w:val="left" w:pos="5103"/>
        </w:tabs>
        <w:spacing w:after="0" w:line="240" w:lineRule="auto"/>
        <w:jc w:val="both"/>
        <w:rPr>
          <w:rFonts w:ascii="Times New Roman" w:hAnsi="Times New Roman" w:cs="Times New Roman"/>
          <w:color w:val="FF0000"/>
          <w:sz w:val="20"/>
          <w:szCs w:val="20"/>
        </w:rPr>
      </w:pPr>
      <w:r w:rsidRPr="007375F7">
        <w:rPr>
          <w:rFonts w:ascii="Times New Roman" w:hAnsi="Times New Roman" w:cs="Times New Roman"/>
          <w:color w:val="FF0000"/>
          <w:sz w:val="24"/>
          <w:szCs w:val="24"/>
        </w:rPr>
        <w:object w:dxaOrig="9293" w:dyaOrig="2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120.6pt" o:ole="">
            <v:imagedata r:id="rId17" o:title=""/>
          </v:shape>
          <o:OLEObject Type="Embed" ProgID="MSGraph.Chart.8" ShapeID="_x0000_i1025" DrawAspect="Content" ObjectID="_1556430783" r:id="rId18">
            <o:FieldCodes>\s</o:FieldCodes>
          </o:OLEObject>
        </w:object>
      </w:r>
      <w:r w:rsidRPr="007375F7">
        <w:rPr>
          <w:rFonts w:ascii="Times New Roman" w:hAnsi="Times New Roman" w:cs="Times New Roman"/>
          <w:sz w:val="20"/>
          <w:szCs w:val="20"/>
        </w:rPr>
        <w:t>Poznámka: Súčet presahuje 100 % pre možnosti voľby viacerých odpovedí.</w:t>
      </w:r>
    </w:p>
    <w:p w:rsidR="007375F7" w:rsidRPr="007375F7" w:rsidRDefault="007375F7" w:rsidP="007375F7">
      <w:pPr>
        <w:spacing w:after="0" w:line="240" w:lineRule="auto"/>
        <w:jc w:val="both"/>
        <w:rPr>
          <w:rFonts w:ascii="Times New Roman" w:hAnsi="Times New Roman" w:cs="Times New Roman"/>
          <w:sz w:val="24"/>
          <w:szCs w:val="24"/>
        </w:rPr>
      </w:pPr>
    </w:p>
    <w:p w:rsidR="007375F7" w:rsidRPr="007375F7" w:rsidRDefault="007375F7" w:rsidP="007375F7">
      <w:pPr>
        <w:spacing w:after="120" w:line="240" w:lineRule="auto"/>
        <w:jc w:val="both"/>
        <w:rPr>
          <w:rFonts w:ascii="Times New Roman" w:hAnsi="Times New Roman" w:cs="Times New Roman"/>
          <w:sz w:val="24"/>
          <w:szCs w:val="24"/>
        </w:rPr>
      </w:pPr>
      <w:r w:rsidRPr="007375F7">
        <w:rPr>
          <w:rFonts w:ascii="Times New Roman" w:hAnsi="Times New Roman" w:cs="Times New Roman"/>
          <w:sz w:val="24"/>
          <w:szCs w:val="24"/>
        </w:rPr>
        <w:t>Rozdiely v odpovediach učiteľov základných a stredných škôl potvrdili,</w:t>
      </w:r>
      <w:r w:rsidRPr="007375F7">
        <w:rPr>
          <w:rFonts w:ascii="Times New Roman" w:hAnsi="Times New Roman" w:cs="Times New Roman"/>
          <w:color w:val="FF0000"/>
          <w:sz w:val="24"/>
          <w:szCs w:val="24"/>
        </w:rPr>
        <w:t xml:space="preserve"> </w:t>
      </w:r>
      <w:r w:rsidRPr="007375F7">
        <w:rPr>
          <w:rFonts w:ascii="Times New Roman" w:hAnsi="Times New Roman" w:cs="Times New Roman"/>
          <w:sz w:val="24"/>
          <w:szCs w:val="24"/>
        </w:rPr>
        <w:t xml:space="preserve">že zatiaľ čo v stredných školách sa s porušením ľudských práv nestretlo až viac ako 40 % (42,9 %) učiteľov a 2,2 % nevedelo k problému zaujať stanovisko, v základných školách je situácia výrazne horšia. Tu len 13,2 % oslovených učiteľov pripustilo, že sa s porušením práv v škole </w:t>
      </w:r>
      <w:r w:rsidRPr="007375F7">
        <w:rPr>
          <w:rFonts w:ascii="Times New Roman" w:hAnsi="Times New Roman" w:cs="Times New Roman"/>
          <w:sz w:val="24"/>
          <w:szCs w:val="24"/>
        </w:rPr>
        <w:lastRenderedPageBreak/>
        <w:t>nestretlo a 4,3 % volilo odpoveď neviem. Ak analyzujeme konkrétne druhy porušenia zistíme, že hoci v oboch prostrediach dominuje šikanovanie, vo vyššej miere sa objavuje v odpovediach učiteľov základ</w:t>
      </w:r>
      <w:r w:rsidR="008B31CB">
        <w:rPr>
          <w:rFonts w:ascii="Times New Roman" w:hAnsi="Times New Roman" w:cs="Times New Roman"/>
          <w:sz w:val="24"/>
          <w:szCs w:val="24"/>
        </w:rPr>
        <w:t>ných škôl</w:t>
      </w:r>
      <w:r w:rsidRPr="007375F7">
        <w:rPr>
          <w:rFonts w:ascii="Times New Roman" w:hAnsi="Times New Roman" w:cs="Times New Roman"/>
          <w:sz w:val="24"/>
          <w:szCs w:val="24"/>
        </w:rPr>
        <w:t xml:space="preserve">, aj keď rozdiel je len nepatrný. Je teda zrejmé, že šikanovanie je výrazne rozšírené v oboch typoch škôl, bez rozdielu veku žiakov. Nasleduje diskriminácia, avšak omnoho rozšírenejšia na nižšom stupni vzdelania (ZŠ 29,3 %, SŠ 9,1 %). Možno konštatovať, že vo všetkých typoch porušenia práv dominujú podľa výpovedí oslovených žiaci základných škôl. A tak porušenie práva na slobodu prejavu prezentovalo 13,0 % učiteľov základných škôl a 3,9 % stredoškolských pedagógov, bitky a násilie 12,0 % učiteľov zo základných škôl a 2,6 % zo stredných škôl a psychické trestanie uviedlo 6,5 % učiteľov nižšieho stupňa vzdelania a len 2,6 % vyššieho. </w:t>
      </w:r>
    </w:p>
    <w:p w:rsidR="007375F7" w:rsidRPr="007375F7" w:rsidRDefault="007375F7" w:rsidP="007375F7">
      <w:pPr>
        <w:pStyle w:val="Zkladntext3"/>
        <w:spacing w:line="240" w:lineRule="auto"/>
        <w:jc w:val="both"/>
        <w:rPr>
          <w:rFonts w:ascii="Times New Roman" w:hAnsi="Times New Roman" w:cs="Times New Roman"/>
          <w:sz w:val="24"/>
          <w:szCs w:val="24"/>
        </w:rPr>
      </w:pPr>
      <w:r w:rsidRPr="007375F7">
        <w:rPr>
          <w:rFonts w:ascii="Times New Roman" w:hAnsi="Times New Roman" w:cs="Times New Roman"/>
          <w:b/>
          <w:sz w:val="24"/>
          <w:szCs w:val="24"/>
        </w:rPr>
        <w:t>Porovnaním výsledkov za sledované roky (rok 2005, 2008, 2011, 2013 a 2015)</w:t>
      </w:r>
      <w:r w:rsidRPr="007375F7">
        <w:rPr>
          <w:rFonts w:ascii="Times New Roman" w:hAnsi="Times New Roman" w:cs="Times New Roman"/>
          <w:sz w:val="24"/>
          <w:szCs w:val="24"/>
        </w:rPr>
        <w:t xml:space="preserve"> sa zistila najlepšia situácia v roku 2008, kedy až 85 % oslovených učiteľov základných škôl sa vyjadrilo, že k porušovaniu ľudských práv u nich </w:t>
      </w:r>
      <w:r w:rsidR="008B31CB">
        <w:rPr>
          <w:rFonts w:ascii="Times New Roman" w:hAnsi="Times New Roman" w:cs="Times New Roman"/>
          <w:sz w:val="24"/>
          <w:szCs w:val="24"/>
        </w:rPr>
        <w:t xml:space="preserve">v škole </w:t>
      </w:r>
      <w:r w:rsidRPr="007375F7">
        <w:rPr>
          <w:rFonts w:ascii="Times New Roman" w:hAnsi="Times New Roman" w:cs="Times New Roman"/>
          <w:sz w:val="24"/>
          <w:szCs w:val="24"/>
        </w:rPr>
        <w:t>nedochádza. Možno konštatovať, že neustále stúpa porušovanie ľudských práv v školách a klesá tak percento učiteľov presvedčených, že k ich porušovaniu nedochádza (rok 2008: 85,0 %, 2011: 57,5 %, 2013: 36,1 %, 2015: 26,5 %).</w:t>
      </w:r>
      <w:r w:rsidRPr="007375F7">
        <w:rPr>
          <w:rFonts w:ascii="Times New Roman" w:hAnsi="Times New Roman" w:cs="Times New Roman"/>
          <w:color w:val="FF0000"/>
          <w:sz w:val="24"/>
          <w:szCs w:val="24"/>
        </w:rPr>
        <w:t xml:space="preserve"> </w:t>
      </w:r>
      <w:r w:rsidRPr="007375F7">
        <w:rPr>
          <w:rFonts w:ascii="Times New Roman" w:hAnsi="Times New Roman" w:cs="Times New Roman"/>
          <w:sz w:val="24"/>
          <w:szCs w:val="24"/>
        </w:rPr>
        <w:t>Na základe analýzy konkrétnych porušení ľudských práv v školskom prostredí za sledované obdobie vidíme v súčasnosti výrazný nárast diskriminačných prejavov zo strany žiakov. Až každý</w:t>
      </w:r>
      <w:r w:rsidR="008B31CB">
        <w:rPr>
          <w:rFonts w:ascii="Times New Roman" w:hAnsi="Times New Roman" w:cs="Times New Roman"/>
          <w:sz w:val="24"/>
          <w:szCs w:val="24"/>
        </w:rPr>
        <w:t xml:space="preserve"> piaty oslovený pedagóg </w:t>
      </w:r>
      <w:r w:rsidRPr="007375F7">
        <w:rPr>
          <w:rFonts w:ascii="Times New Roman" w:hAnsi="Times New Roman" w:cs="Times New Roman"/>
          <w:sz w:val="24"/>
          <w:szCs w:val="24"/>
        </w:rPr>
        <w:t xml:space="preserve"> sa vyjadril, že u nich v škole sa objavuje diskriminácia. Výsledky výskumu názorov učiteľov základných a stredných škôl dokumentujú aj neustály nárast popierania možnosti prejaviť svoj názor, ako aj fyzického a psychického násilia v škole. Pozitívna situácia je len pri porušení práv inej osoby, napríklad učiteľa, kde dochádza za sledované obdobie k výraznému poklesu, aj keď v súčasnosti je mierny n</w:t>
      </w:r>
      <w:r w:rsidR="008B31CB">
        <w:rPr>
          <w:rFonts w:ascii="Times New Roman" w:hAnsi="Times New Roman" w:cs="Times New Roman"/>
          <w:sz w:val="24"/>
          <w:szCs w:val="24"/>
        </w:rPr>
        <w:t xml:space="preserve">árast </w:t>
      </w:r>
      <w:r w:rsidRPr="007375F7">
        <w:rPr>
          <w:rFonts w:ascii="Times New Roman" w:hAnsi="Times New Roman" w:cs="Times New Roman"/>
          <w:sz w:val="24"/>
          <w:szCs w:val="24"/>
        </w:rPr>
        <w:t xml:space="preserve"> a pri šikanovaní, kde je viditeľný od roku 2011 neustály pokles. Nastoľuje sa otázka či nedochádza k zvýšeniu agresivity žiakov a to na úkor dlhodobého a opakovaného šikanovania. Podrobné skúmanie problematiky šikanovania a násilia v základných a stredných škôl z pohľadu učiteľov, koordinátorov prevencie a riaditeľov škôl bude predmetom iného prieskumu.</w:t>
      </w:r>
    </w:p>
    <w:p w:rsidR="007375F7" w:rsidRPr="007375F7" w:rsidRDefault="007375F7" w:rsidP="007375F7">
      <w:pPr>
        <w:spacing w:after="0" w:line="240" w:lineRule="auto"/>
        <w:jc w:val="both"/>
        <w:rPr>
          <w:rFonts w:ascii="Times New Roman" w:hAnsi="Times New Roman" w:cs="Times New Roman"/>
          <w:b/>
          <w:sz w:val="20"/>
          <w:szCs w:val="20"/>
        </w:rPr>
      </w:pPr>
      <w:r w:rsidRPr="007375F7">
        <w:rPr>
          <w:rFonts w:ascii="Times New Roman" w:hAnsi="Times New Roman" w:cs="Times New Roman"/>
          <w:b/>
          <w:sz w:val="20"/>
          <w:szCs w:val="20"/>
        </w:rPr>
        <w:t xml:space="preserve">Tabuľka </w:t>
      </w:r>
      <w:r>
        <w:rPr>
          <w:rFonts w:ascii="Times New Roman" w:hAnsi="Times New Roman" w:cs="Times New Roman"/>
          <w:b/>
          <w:sz w:val="20"/>
          <w:szCs w:val="20"/>
        </w:rPr>
        <w:t>7</w:t>
      </w:r>
      <w:r w:rsidRPr="007375F7">
        <w:rPr>
          <w:rFonts w:ascii="Times New Roman" w:hAnsi="Times New Roman" w:cs="Times New Roman"/>
          <w:b/>
          <w:sz w:val="20"/>
          <w:szCs w:val="20"/>
        </w:rPr>
        <w:t xml:space="preserve"> Typy porušenia ľudských práv podľa typu strednej školy (v %)</w:t>
      </w:r>
    </w:p>
    <w:tbl>
      <w:tblPr>
        <w:tblW w:w="9071" w:type="dxa"/>
        <w:tblInd w:w="65" w:type="dxa"/>
        <w:tblCellMar>
          <w:left w:w="70" w:type="dxa"/>
          <w:right w:w="70" w:type="dxa"/>
        </w:tblCellMar>
        <w:tblLook w:val="0000" w:firstRow="0" w:lastRow="0" w:firstColumn="0" w:lastColumn="0" w:noHBand="0" w:noVBand="0"/>
      </w:tblPr>
      <w:tblGrid>
        <w:gridCol w:w="4535"/>
        <w:gridCol w:w="1134"/>
        <w:gridCol w:w="1134"/>
        <w:gridCol w:w="1134"/>
        <w:gridCol w:w="1134"/>
      </w:tblGrid>
      <w:tr w:rsidR="007375F7" w:rsidRPr="007375F7" w:rsidTr="00744108">
        <w:trPr>
          <w:trHeight w:val="255"/>
        </w:trPr>
        <w:tc>
          <w:tcPr>
            <w:tcW w:w="453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p>
        </w:tc>
        <w:tc>
          <w:tcPr>
            <w:tcW w:w="1134" w:type="dxa"/>
            <w:tcBorders>
              <w:top w:val="single" w:sz="4" w:space="0" w:color="auto"/>
              <w:left w:val="nil"/>
              <w:bottom w:val="single" w:sz="4" w:space="0" w:color="auto"/>
              <w:right w:val="single" w:sz="4" w:space="0" w:color="auto"/>
            </w:tcBorders>
            <w:shd w:val="clear" w:color="auto" w:fill="B8CCE4"/>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2008</w:t>
            </w:r>
          </w:p>
        </w:tc>
        <w:tc>
          <w:tcPr>
            <w:tcW w:w="1134" w:type="dxa"/>
            <w:tcBorders>
              <w:top w:val="single" w:sz="4" w:space="0" w:color="auto"/>
              <w:left w:val="nil"/>
              <w:bottom w:val="single" w:sz="4" w:space="0" w:color="auto"/>
              <w:right w:val="single" w:sz="4" w:space="0" w:color="auto"/>
            </w:tcBorders>
            <w:shd w:val="clear" w:color="auto" w:fill="B8CCE4"/>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2011</w:t>
            </w:r>
          </w:p>
        </w:tc>
        <w:tc>
          <w:tcPr>
            <w:tcW w:w="1134" w:type="dxa"/>
            <w:tcBorders>
              <w:top w:val="single" w:sz="4" w:space="0" w:color="auto"/>
              <w:left w:val="nil"/>
              <w:bottom w:val="single" w:sz="4" w:space="0" w:color="auto"/>
              <w:right w:val="single" w:sz="4" w:space="0" w:color="auto"/>
            </w:tcBorders>
            <w:shd w:val="clear" w:color="auto" w:fill="B8CCE4"/>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2013</w:t>
            </w:r>
          </w:p>
        </w:tc>
        <w:tc>
          <w:tcPr>
            <w:tcW w:w="1134" w:type="dxa"/>
            <w:tcBorders>
              <w:top w:val="single" w:sz="4" w:space="0" w:color="auto"/>
              <w:left w:val="nil"/>
              <w:bottom w:val="single" w:sz="4" w:space="0" w:color="auto"/>
              <w:right w:val="single" w:sz="4" w:space="0" w:color="auto"/>
            </w:tcBorders>
            <w:shd w:val="clear" w:color="auto" w:fill="B8CCE4"/>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2015</w:t>
            </w:r>
          </w:p>
        </w:tc>
      </w:tr>
      <w:tr w:rsidR="007375F7" w:rsidRPr="007375F7" w:rsidTr="00744108">
        <w:trPr>
          <w:trHeight w:val="255"/>
        </w:trPr>
        <w:tc>
          <w:tcPr>
            <w:tcW w:w="4535" w:type="dxa"/>
            <w:tcBorders>
              <w:top w:val="nil"/>
              <w:left w:val="single" w:sz="4" w:space="0" w:color="auto"/>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diskriminácia</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15,4</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15,3</w:t>
            </w:r>
          </w:p>
        </w:tc>
        <w:tc>
          <w:tcPr>
            <w:tcW w:w="1134" w:type="dxa"/>
            <w:tcBorders>
              <w:top w:val="nil"/>
              <w:left w:val="nil"/>
              <w:bottom w:val="single" w:sz="4" w:space="0" w:color="auto"/>
              <w:right w:val="single" w:sz="4" w:space="0" w:color="auto"/>
            </w:tcBorders>
            <w:shd w:val="clear" w:color="auto" w:fill="FFFFFF"/>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14,7</w:t>
            </w:r>
          </w:p>
        </w:tc>
        <w:tc>
          <w:tcPr>
            <w:tcW w:w="1134" w:type="dxa"/>
            <w:tcBorders>
              <w:top w:val="nil"/>
              <w:left w:val="nil"/>
              <w:bottom w:val="single" w:sz="4" w:space="0" w:color="auto"/>
              <w:right w:val="single" w:sz="4" w:space="0" w:color="auto"/>
            </w:tcBorders>
            <w:shd w:val="clear" w:color="auto" w:fill="FFFFFF"/>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20,0</w:t>
            </w:r>
          </w:p>
        </w:tc>
      </w:tr>
      <w:tr w:rsidR="007375F7" w:rsidRPr="007375F7" w:rsidTr="00744108">
        <w:trPr>
          <w:trHeight w:val="255"/>
        </w:trPr>
        <w:tc>
          <w:tcPr>
            <w:tcW w:w="4535" w:type="dxa"/>
            <w:tcBorders>
              <w:top w:val="nil"/>
              <w:left w:val="single" w:sz="4" w:space="0" w:color="auto"/>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nemožno prejaviť svoj názor</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9,0</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3,2</w:t>
            </w:r>
          </w:p>
        </w:tc>
        <w:tc>
          <w:tcPr>
            <w:tcW w:w="1134" w:type="dxa"/>
            <w:tcBorders>
              <w:top w:val="nil"/>
              <w:left w:val="nil"/>
              <w:bottom w:val="single" w:sz="4" w:space="0" w:color="auto"/>
              <w:right w:val="single" w:sz="4" w:space="0" w:color="auto"/>
            </w:tcBorders>
            <w:shd w:val="clear" w:color="auto" w:fill="FFFFFF"/>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5,6</w:t>
            </w:r>
          </w:p>
        </w:tc>
        <w:tc>
          <w:tcPr>
            <w:tcW w:w="1134" w:type="dxa"/>
            <w:tcBorders>
              <w:top w:val="nil"/>
              <w:left w:val="nil"/>
              <w:bottom w:val="single" w:sz="4" w:space="0" w:color="auto"/>
              <w:right w:val="single" w:sz="4" w:space="0" w:color="auto"/>
            </w:tcBorders>
            <w:shd w:val="clear" w:color="auto" w:fill="FFFFFF"/>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8,8</w:t>
            </w:r>
          </w:p>
        </w:tc>
      </w:tr>
      <w:tr w:rsidR="007375F7" w:rsidRPr="007375F7" w:rsidTr="00744108">
        <w:trPr>
          <w:trHeight w:val="255"/>
        </w:trPr>
        <w:tc>
          <w:tcPr>
            <w:tcW w:w="4535" w:type="dxa"/>
            <w:tcBorders>
              <w:top w:val="nil"/>
              <w:left w:val="single" w:sz="4" w:space="0" w:color="auto"/>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fyzické tresty</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7,7</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0</w:t>
            </w:r>
          </w:p>
        </w:tc>
        <w:tc>
          <w:tcPr>
            <w:tcW w:w="1134" w:type="dxa"/>
            <w:tcBorders>
              <w:top w:val="nil"/>
              <w:left w:val="nil"/>
              <w:bottom w:val="single" w:sz="4" w:space="0" w:color="auto"/>
              <w:right w:val="single" w:sz="4" w:space="0" w:color="auto"/>
            </w:tcBorders>
            <w:shd w:val="clear" w:color="auto" w:fill="FFFFFF"/>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2,0</w:t>
            </w:r>
          </w:p>
        </w:tc>
        <w:tc>
          <w:tcPr>
            <w:tcW w:w="1134" w:type="dxa"/>
            <w:tcBorders>
              <w:top w:val="nil"/>
              <w:left w:val="nil"/>
              <w:bottom w:val="single" w:sz="4" w:space="0" w:color="auto"/>
              <w:right w:val="single" w:sz="4" w:space="0" w:color="auto"/>
            </w:tcBorders>
            <w:shd w:val="clear" w:color="auto" w:fill="FFFFFF"/>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7,6</w:t>
            </w:r>
          </w:p>
        </w:tc>
      </w:tr>
      <w:tr w:rsidR="007375F7" w:rsidRPr="007375F7" w:rsidTr="00744108">
        <w:trPr>
          <w:trHeight w:val="255"/>
        </w:trPr>
        <w:tc>
          <w:tcPr>
            <w:tcW w:w="4535" w:type="dxa"/>
            <w:tcBorders>
              <w:top w:val="nil"/>
              <w:left w:val="single" w:sz="4" w:space="0" w:color="auto"/>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psychické tresty</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5,1</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0</w:t>
            </w:r>
          </w:p>
        </w:tc>
        <w:tc>
          <w:tcPr>
            <w:tcW w:w="1134" w:type="dxa"/>
            <w:tcBorders>
              <w:top w:val="nil"/>
              <w:left w:val="nil"/>
              <w:bottom w:val="single" w:sz="4" w:space="0" w:color="auto"/>
              <w:right w:val="single" w:sz="4" w:space="0" w:color="auto"/>
            </w:tcBorders>
            <w:shd w:val="clear" w:color="auto" w:fill="FFFFFF"/>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0,4</w:t>
            </w:r>
          </w:p>
        </w:tc>
        <w:tc>
          <w:tcPr>
            <w:tcW w:w="1134" w:type="dxa"/>
            <w:tcBorders>
              <w:top w:val="nil"/>
              <w:left w:val="nil"/>
              <w:bottom w:val="single" w:sz="4" w:space="0" w:color="auto"/>
              <w:right w:val="single" w:sz="4" w:space="0" w:color="auto"/>
            </w:tcBorders>
            <w:shd w:val="clear" w:color="auto" w:fill="FFFFFF"/>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4,7</w:t>
            </w:r>
          </w:p>
        </w:tc>
      </w:tr>
      <w:tr w:rsidR="007375F7" w:rsidRPr="007375F7" w:rsidTr="00744108">
        <w:trPr>
          <w:trHeight w:val="255"/>
        </w:trPr>
        <w:tc>
          <w:tcPr>
            <w:tcW w:w="4535" w:type="dxa"/>
            <w:tcBorders>
              <w:top w:val="nil"/>
              <w:left w:val="single" w:sz="4" w:space="0" w:color="auto"/>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nespravodlivé ohodnotenie</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10,3</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1,9</w:t>
            </w:r>
          </w:p>
        </w:tc>
        <w:tc>
          <w:tcPr>
            <w:tcW w:w="1134" w:type="dxa"/>
            <w:tcBorders>
              <w:top w:val="nil"/>
              <w:left w:val="nil"/>
              <w:bottom w:val="single" w:sz="4" w:space="0" w:color="auto"/>
              <w:right w:val="single" w:sz="4" w:space="0" w:color="auto"/>
            </w:tcBorders>
            <w:shd w:val="clear" w:color="auto" w:fill="FFFFFF"/>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2,4</w:t>
            </w:r>
          </w:p>
        </w:tc>
        <w:tc>
          <w:tcPr>
            <w:tcW w:w="1134" w:type="dxa"/>
            <w:tcBorders>
              <w:top w:val="nil"/>
              <w:left w:val="nil"/>
              <w:bottom w:val="single" w:sz="4" w:space="0" w:color="auto"/>
              <w:right w:val="single" w:sz="4" w:space="0" w:color="auto"/>
            </w:tcBorders>
            <w:shd w:val="clear" w:color="auto" w:fill="FFFFFF"/>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1,2</w:t>
            </w:r>
          </w:p>
        </w:tc>
      </w:tr>
      <w:tr w:rsidR="007375F7" w:rsidRPr="007375F7" w:rsidTr="00744108">
        <w:trPr>
          <w:trHeight w:val="255"/>
        </w:trPr>
        <w:tc>
          <w:tcPr>
            <w:tcW w:w="4535" w:type="dxa"/>
            <w:tcBorders>
              <w:top w:val="nil"/>
              <w:left w:val="single" w:sz="4" w:space="0" w:color="auto"/>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porušenie práva inej osoby, napr. učiteľa</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19,2</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12,1</w:t>
            </w:r>
          </w:p>
        </w:tc>
        <w:tc>
          <w:tcPr>
            <w:tcW w:w="1134" w:type="dxa"/>
            <w:tcBorders>
              <w:top w:val="nil"/>
              <w:left w:val="nil"/>
              <w:bottom w:val="single" w:sz="4" w:space="0" w:color="auto"/>
              <w:right w:val="single" w:sz="4" w:space="0" w:color="auto"/>
            </w:tcBorders>
            <w:shd w:val="clear" w:color="auto" w:fill="FFFFFF"/>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4,0</w:t>
            </w:r>
          </w:p>
        </w:tc>
        <w:tc>
          <w:tcPr>
            <w:tcW w:w="1134" w:type="dxa"/>
            <w:tcBorders>
              <w:top w:val="nil"/>
              <w:left w:val="nil"/>
              <w:bottom w:val="single" w:sz="4" w:space="0" w:color="auto"/>
              <w:right w:val="single" w:sz="4" w:space="0" w:color="auto"/>
            </w:tcBorders>
            <w:shd w:val="clear" w:color="auto" w:fill="FFFFFF"/>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4,7</w:t>
            </w:r>
          </w:p>
        </w:tc>
      </w:tr>
      <w:tr w:rsidR="007375F7" w:rsidRPr="007375F7" w:rsidTr="00744108">
        <w:trPr>
          <w:trHeight w:val="255"/>
        </w:trPr>
        <w:tc>
          <w:tcPr>
            <w:tcW w:w="4535" w:type="dxa"/>
            <w:tcBorders>
              <w:top w:val="nil"/>
              <w:left w:val="single" w:sz="4" w:space="0" w:color="auto"/>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šikanovanie</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21,8</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61,8</w:t>
            </w:r>
          </w:p>
        </w:tc>
        <w:tc>
          <w:tcPr>
            <w:tcW w:w="1134" w:type="dxa"/>
            <w:tcBorders>
              <w:top w:val="nil"/>
              <w:left w:val="nil"/>
              <w:bottom w:val="single" w:sz="4" w:space="0" w:color="auto"/>
              <w:right w:val="single" w:sz="4" w:space="0" w:color="auto"/>
            </w:tcBorders>
            <w:shd w:val="clear" w:color="auto" w:fill="FFFFFF"/>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43,7</w:t>
            </w:r>
          </w:p>
        </w:tc>
        <w:tc>
          <w:tcPr>
            <w:tcW w:w="1134" w:type="dxa"/>
            <w:tcBorders>
              <w:top w:val="nil"/>
              <w:left w:val="nil"/>
              <w:bottom w:val="single" w:sz="4" w:space="0" w:color="auto"/>
              <w:right w:val="single" w:sz="4" w:space="0" w:color="auto"/>
            </w:tcBorders>
            <w:shd w:val="clear" w:color="auto" w:fill="FFFFFF"/>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38,8</w:t>
            </w:r>
          </w:p>
        </w:tc>
      </w:tr>
      <w:tr w:rsidR="007375F7" w:rsidRPr="007375F7" w:rsidTr="00744108">
        <w:trPr>
          <w:trHeight w:val="255"/>
        </w:trPr>
        <w:tc>
          <w:tcPr>
            <w:tcW w:w="4535" w:type="dxa"/>
            <w:tcBorders>
              <w:top w:val="nil"/>
              <w:left w:val="single" w:sz="4" w:space="0" w:color="auto"/>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záškoláctvo</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1,3</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0,6</w:t>
            </w:r>
          </w:p>
        </w:tc>
        <w:tc>
          <w:tcPr>
            <w:tcW w:w="1134" w:type="dxa"/>
            <w:tcBorders>
              <w:top w:val="nil"/>
              <w:left w:val="nil"/>
              <w:bottom w:val="single" w:sz="4" w:space="0" w:color="auto"/>
              <w:right w:val="single" w:sz="4" w:space="0" w:color="auto"/>
            </w:tcBorders>
            <w:shd w:val="clear" w:color="auto" w:fill="FFFFFF"/>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1,6</w:t>
            </w:r>
          </w:p>
        </w:tc>
        <w:tc>
          <w:tcPr>
            <w:tcW w:w="1134" w:type="dxa"/>
            <w:tcBorders>
              <w:top w:val="nil"/>
              <w:left w:val="nil"/>
              <w:bottom w:val="single" w:sz="4" w:space="0" w:color="auto"/>
              <w:right w:val="single" w:sz="4" w:space="0" w:color="auto"/>
            </w:tcBorders>
            <w:shd w:val="clear" w:color="auto" w:fill="FFFFFF"/>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0</w:t>
            </w:r>
          </w:p>
        </w:tc>
      </w:tr>
      <w:tr w:rsidR="007375F7" w:rsidRPr="007375F7" w:rsidTr="00744108">
        <w:trPr>
          <w:trHeight w:val="255"/>
        </w:trPr>
        <w:tc>
          <w:tcPr>
            <w:tcW w:w="4535" w:type="dxa"/>
            <w:tcBorders>
              <w:top w:val="nil"/>
              <w:left w:val="single" w:sz="4" w:space="0" w:color="auto"/>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iné</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6,4</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2,5</w:t>
            </w:r>
          </w:p>
        </w:tc>
        <w:tc>
          <w:tcPr>
            <w:tcW w:w="1134" w:type="dxa"/>
            <w:tcBorders>
              <w:top w:val="nil"/>
              <w:left w:val="nil"/>
              <w:bottom w:val="single" w:sz="4" w:space="0" w:color="auto"/>
              <w:right w:val="single" w:sz="4" w:space="0" w:color="auto"/>
            </w:tcBorders>
            <w:shd w:val="clear" w:color="auto" w:fill="FFFFFF"/>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1,2</w:t>
            </w:r>
          </w:p>
        </w:tc>
        <w:tc>
          <w:tcPr>
            <w:tcW w:w="1134" w:type="dxa"/>
            <w:tcBorders>
              <w:top w:val="nil"/>
              <w:left w:val="nil"/>
              <w:bottom w:val="single" w:sz="4" w:space="0" w:color="auto"/>
              <w:right w:val="single" w:sz="4" w:space="0" w:color="auto"/>
            </w:tcBorders>
            <w:shd w:val="clear" w:color="auto" w:fill="FFFFFF"/>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4,1</w:t>
            </w:r>
          </w:p>
        </w:tc>
      </w:tr>
      <w:tr w:rsidR="007375F7" w:rsidRPr="007375F7" w:rsidTr="00744108">
        <w:trPr>
          <w:trHeight w:val="255"/>
        </w:trPr>
        <w:tc>
          <w:tcPr>
            <w:tcW w:w="4535" w:type="dxa"/>
            <w:tcBorders>
              <w:top w:val="nil"/>
              <w:left w:val="single" w:sz="4" w:space="0" w:color="auto"/>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neviem</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1,3</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2,4</w:t>
            </w:r>
          </w:p>
        </w:tc>
        <w:tc>
          <w:tcPr>
            <w:tcW w:w="1134" w:type="dxa"/>
            <w:tcBorders>
              <w:top w:val="nil"/>
              <w:left w:val="nil"/>
              <w:bottom w:val="single" w:sz="4" w:space="0" w:color="auto"/>
              <w:right w:val="single" w:sz="4" w:space="0" w:color="auto"/>
            </w:tcBorders>
            <w:shd w:val="clear" w:color="auto" w:fill="FFFFFF"/>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4,0</w:t>
            </w:r>
          </w:p>
        </w:tc>
        <w:tc>
          <w:tcPr>
            <w:tcW w:w="1134" w:type="dxa"/>
            <w:tcBorders>
              <w:top w:val="nil"/>
              <w:left w:val="nil"/>
              <w:bottom w:val="single" w:sz="4" w:space="0" w:color="auto"/>
              <w:right w:val="single" w:sz="4" w:space="0" w:color="auto"/>
            </w:tcBorders>
            <w:shd w:val="clear" w:color="auto" w:fill="FFFFFF"/>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3,5</w:t>
            </w:r>
          </w:p>
        </w:tc>
      </w:tr>
      <w:tr w:rsidR="007375F7" w:rsidRPr="007375F7" w:rsidTr="00744108">
        <w:trPr>
          <w:trHeight w:val="255"/>
        </w:trPr>
        <w:tc>
          <w:tcPr>
            <w:tcW w:w="4535" w:type="dxa"/>
            <w:tcBorders>
              <w:top w:val="nil"/>
              <w:left w:val="single" w:sz="4" w:space="0" w:color="auto"/>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nestretol som sa</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85,0</w:t>
            </w:r>
          </w:p>
        </w:tc>
        <w:tc>
          <w:tcPr>
            <w:tcW w:w="1134" w:type="dxa"/>
            <w:tcBorders>
              <w:top w:val="nil"/>
              <w:left w:val="nil"/>
              <w:bottom w:val="single" w:sz="4" w:space="0" w:color="auto"/>
              <w:right w:val="single" w:sz="4" w:space="0" w:color="auto"/>
            </w:tcBorders>
            <w:shd w:val="clear" w:color="auto" w:fill="FFFFFF"/>
            <w:noWrap/>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57,5</w:t>
            </w:r>
          </w:p>
        </w:tc>
        <w:tc>
          <w:tcPr>
            <w:tcW w:w="1134" w:type="dxa"/>
            <w:tcBorders>
              <w:top w:val="nil"/>
              <w:left w:val="nil"/>
              <w:bottom w:val="single" w:sz="4" w:space="0" w:color="auto"/>
              <w:right w:val="single" w:sz="4" w:space="0" w:color="auto"/>
            </w:tcBorders>
            <w:shd w:val="clear" w:color="auto" w:fill="FFFFFF"/>
            <w:vAlign w:val="center"/>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36,1</w:t>
            </w:r>
          </w:p>
        </w:tc>
        <w:tc>
          <w:tcPr>
            <w:tcW w:w="1134" w:type="dxa"/>
            <w:tcBorders>
              <w:top w:val="nil"/>
              <w:left w:val="nil"/>
              <w:bottom w:val="single" w:sz="4" w:space="0" w:color="auto"/>
              <w:right w:val="single" w:sz="4" w:space="0" w:color="auto"/>
            </w:tcBorders>
            <w:shd w:val="clear" w:color="auto" w:fill="FFFFFF"/>
          </w:tcPr>
          <w:p w:rsidR="007375F7" w:rsidRPr="007375F7" w:rsidRDefault="007375F7" w:rsidP="007375F7">
            <w:pPr>
              <w:spacing w:after="0" w:line="240" w:lineRule="auto"/>
              <w:jc w:val="both"/>
              <w:rPr>
                <w:rFonts w:ascii="Times New Roman" w:hAnsi="Times New Roman" w:cs="Times New Roman"/>
                <w:sz w:val="20"/>
                <w:szCs w:val="20"/>
                <w:lang w:eastAsia="sk-SK"/>
              </w:rPr>
            </w:pPr>
            <w:r w:rsidRPr="007375F7">
              <w:rPr>
                <w:rFonts w:ascii="Times New Roman" w:hAnsi="Times New Roman" w:cs="Times New Roman"/>
                <w:sz w:val="20"/>
                <w:szCs w:val="20"/>
                <w:lang w:eastAsia="sk-SK"/>
              </w:rPr>
              <w:t>26,5</w:t>
            </w:r>
          </w:p>
        </w:tc>
      </w:tr>
    </w:tbl>
    <w:p w:rsidR="007375F7" w:rsidRPr="007375F7" w:rsidRDefault="007375F7" w:rsidP="007375F7">
      <w:pPr>
        <w:spacing w:after="0" w:line="240" w:lineRule="auto"/>
        <w:jc w:val="both"/>
        <w:rPr>
          <w:rFonts w:ascii="Times New Roman" w:hAnsi="Times New Roman" w:cs="Times New Roman"/>
          <w:color w:val="FF0000"/>
          <w:sz w:val="20"/>
          <w:szCs w:val="20"/>
        </w:rPr>
      </w:pPr>
      <w:r w:rsidRPr="007375F7">
        <w:rPr>
          <w:rFonts w:ascii="Times New Roman" w:hAnsi="Times New Roman" w:cs="Times New Roman"/>
          <w:sz w:val="20"/>
          <w:szCs w:val="20"/>
        </w:rPr>
        <w:t>Poznámka: Súčet presahuje 100 % pre možnosti voľby viacerých odpovedí.</w:t>
      </w:r>
    </w:p>
    <w:p w:rsidR="007375F7" w:rsidRPr="007375F7" w:rsidRDefault="007375F7" w:rsidP="007375F7">
      <w:pPr>
        <w:spacing w:after="0" w:line="240" w:lineRule="auto"/>
        <w:jc w:val="both"/>
        <w:rPr>
          <w:rFonts w:ascii="Times New Roman" w:hAnsi="Times New Roman" w:cs="Times New Roman"/>
          <w:sz w:val="20"/>
          <w:szCs w:val="20"/>
        </w:rPr>
      </w:pPr>
    </w:p>
    <w:p w:rsidR="000D3886" w:rsidRDefault="000D3886" w:rsidP="000D3886">
      <w:pPr>
        <w:pStyle w:val="Nadpis3"/>
      </w:pPr>
      <w:bookmarkStart w:id="10" w:name="_Toc441149747"/>
    </w:p>
    <w:p w:rsidR="000D3886" w:rsidRPr="000D3886" w:rsidRDefault="000D3886" w:rsidP="000D3886">
      <w:pPr>
        <w:pStyle w:val="Nadpis3"/>
        <w:rPr>
          <w:szCs w:val="24"/>
        </w:rPr>
      </w:pPr>
      <w:r w:rsidRPr="000D3886">
        <w:rPr>
          <w:szCs w:val="24"/>
        </w:rPr>
        <w:t>Spôsoby riešenia porušenia ľudských práv</w:t>
      </w:r>
      <w:bookmarkEnd w:id="10"/>
      <w:r w:rsidRPr="000D3886">
        <w:rPr>
          <w:szCs w:val="24"/>
        </w:rPr>
        <w:t xml:space="preserve"> </w:t>
      </w:r>
    </w:p>
    <w:p w:rsidR="000D3886" w:rsidRPr="00E771AE" w:rsidRDefault="000D3886" w:rsidP="00E771AE">
      <w:pPr>
        <w:pStyle w:val="Zkladntext3"/>
        <w:spacing w:line="240" w:lineRule="auto"/>
        <w:jc w:val="both"/>
        <w:rPr>
          <w:rFonts w:ascii="Times New Roman" w:hAnsi="Times New Roman" w:cs="Times New Roman"/>
          <w:sz w:val="24"/>
          <w:szCs w:val="24"/>
        </w:rPr>
      </w:pPr>
      <w:r w:rsidRPr="000D3886">
        <w:rPr>
          <w:rFonts w:ascii="Times New Roman" w:hAnsi="Times New Roman" w:cs="Times New Roman"/>
          <w:sz w:val="24"/>
          <w:szCs w:val="24"/>
        </w:rPr>
        <w:t>Do analýzy spôsobov riešenia porušenia ľudských práv v škole bolo zahrnutých 691 odpovedí učiteľov základných a stredných.</w:t>
      </w:r>
      <w:r w:rsidRPr="000D3886">
        <w:rPr>
          <w:rFonts w:ascii="Times New Roman" w:hAnsi="Times New Roman" w:cs="Times New Roman"/>
          <w:color w:val="FF0000"/>
          <w:sz w:val="24"/>
          <w:szCs w:val="24"/>
        </w:rPr>
        <w:t xml:space="preserve"> </w:t>
      </w:r>
      <w:r w:rsidRPr="000D3886">
        <w:rPr>
          <w:rFonts w:ascii="Times New Roman" w:hAnsi="Times New Roman" w:cs="Times New Roman"/>
          <w:sz w:val="24"/>
          <w:szCs w:val="24"/>
        </w:rPr>
        <w:t>Najviac oslovených učiteľov (52,2 %) riešilo problém porušenia ľudských práv v škole s</w:t>
      </w:r>
      <w:r w:rsidRPr="000D3886">
        <w:rPr>
          <w:rFonts w:ascii="Times New Roman" w:hAnsi="Times New Roman" w:cs="Times New Roman"/>
          <w:b/>
          <w:sz w:val="24"/>
          <w:szCs w:val="24"/>
        </w:rPr>
        <w:t xml:space="preserve"> vedením školy</w:t>
      </w:r>
      <w:r w:rsidR="008B31CB">
        <w:rPr>
          <w:rFonts w:ascii="Times New Roman" w:hAnsi="Times New Roman" w:cs="Times New Roman"/>
          <w:sz w:val="24"/>
          <w:szCs w:val="24"/>
        </w:rPr>
        <w:t xml:space="preserve"> a takmer 40 %</w:t>
      </w:r>
      <w:r w:rsidRPr="000D3886">
        <w:rPr>
          <w:rFonts w:ascii="Times New Roman" w:hAnsi="Times New Roman" w:cs="Times New Roman"/>
          <w:sz w:val="24"/>
          <w:szCs w:val="24"/>
        </w:rPr>
        <w:t xml:space="preserve"> vyhľadalo pomoc </w:t>
      </w:r>
      <w:r w:rsidRPr="000D3886">
        <w:rPr>
          <w:rFonts w:ascii="Times New Roman" w:hAnsi="Times New Roman" w:cs="Times New Roman"/>
          <w:b/>
          <w:sz w:val="24"/>
          <w:szCs w:val="24"/>
        </w:rPr>
        <w:t xml:space="preserve">rodičov žiaka. </w:t>
      </w:r>
      <w:r w:rsidRPr="000D3886">
        <w:rPr>
          <w:rFonts w:ascii="Times New Roman" w:hAnsi="Times New Roman" w:cs="Times New Roman"/>
          <w:sz w:val="24"/>
          <w:szCs w:val="24"/>
        </w:rPr>
        <w:t>Približne rovn</w:t>
      </w:r>
      <w:r w:rsidR="008B31CB">
        <w:rPr>
          <w:rFonts w:ascii="Times New Roman" w:hAnsi="Times New Roman" w:cs="Times New Roman"/>
          <w:sz w:val="24"/>
          <w:szCs w:val="24"/>
        </w:rPr>
        <w:t>aké percento oslovených</w:t>
      </w:r>
      <w:r w:rsidRPr="000D3886">
        <w:rPr>
          <w:rFonts w:ascii="Times New Roman" w:hAnsi="Times New Roman" w:cs="Times New Roman"/>
          <w:sz w:val="24"/>
          <w:szCs w:val="24"/>
        </w:rPr>
        <w:t xml:space="preserve"> sa však spoľahlo</w:t>
      </w:r>
      <w:r w:rsidRPr="000D3886">
        <w:rPr>
          <w:rFonts w:ascii="Times New Roman" w:hAnsi="Times New Roman" w:cs="Times New Roman"/>
          <w:b/>
          <w:sz w:val="24"/>
          <w:szCs w:val="24"/>
        </w:rPr>
        <w:t xml:space="preserve"> </w:t>
      </w:r>
      <w:r w:rsidRPr="000D3886">
        <w:rPr>
          <w:rFonts w:ascii="Times New Roman" w:hAnsi="Times New Roman" w:cs="Times New Roman"/>
          <w:sz w:val="24"/>
          <w:szCs w:val="24"/>
        </w:rPr>
        <w:t>výlučne na seba a problém</w:t>
      </w:r>
      <w:r w:rsidRPr="000D3886">
        <w:rPr>
          <w:rFonts w:ascii="Times New Roman" w:hAnsi="Times New Roman" w:cs="Times New Roman"/>
          <w:b/>
          <w:sz w:val="24"/>
          <w:szCs w:val="24"/>
        </w:rPr>
        <w:t xml:space="preserve"> riešilo samostatne</w:t>
      </w:r>
      <w:r w:rsidRPr="000D3886">
        <w:rPr>
          <w:rFonts w:ascii="Times New Roman" w:hAnsi="Times New Roman" w:cs="Times New Roman"/>
          <w:sz w:val="24"/>
          <w:szCs w:val="24"/>
        </w:rPr>
        <w:t xml:space="preserve">. Na </w:t>
      </w:r>
      <w:r w:rsidRPr="000D3886">
        <w:rPr>
          <w:rFonts w:ascii="Times New Roman" w:hAnsi="Times New Roman" w:cs="Times New Roman"/>
          <w:b/>
          <w:sz w:val="24"/>
          <w:szCs w:val="24"/>
        </w:rPr>
        <w:t>psychológa</w:t>
      </w:r>
      <w:r w:rsidRPr="000D3886">
        <w:rPr>
          <w:rFonts w:ascii="Times New Roman" w:hAnsi="Times New Roman" w:cs="Times New Roman"/>
          <w:sz w:val="24"/>
          <w:szCs w:val="24"/>
        </w:rPr>
        <w:t xml:space="preserve"> </w:t>
      </w:r>
      <w:r w:rsidR="008B31CB">
        <w:rPr>
          <w:rFonts w:ascii="Times New Roman" w:hAnsi="Times New Roman" w:cs="Times New Roman"/>
          <w:sz w:val="24"/>
          <w:szCs w:val="24"/>
        </w:rPr>
        <w:t>sa obrátil každý štvrtý</w:t>
      </w:r>
      <w:r w:rsidRPr="000D3886">
        <w:rPr>
          <w:rFonts w:ascii="Times New Roman" w:hAnsi="Times New Roman" w:cs="Times New Roman"/>
          <w:sz w:val="24"/>
          <w:szCs w:val="24"/>
        </w:rPr>
        <w:t>. Vzájomná spolupráca učiteľov medzi sebou je pomerne n</w:t>
      </w:r>
      <w:r w:rsidR="008B31CB">
        <w:rPr>
          <w:rFonts w:ascii="Times New Roman" w:hAnsi="Times New Roman" w:cs="Times New Roman"/>
          <w:sz w:val="24"/>
          <w:szCs w:val="24"/>
        </w:rPr>
        <w:t>ízka. Len necelých 15 %</w:t>
      </w:r>
      <w:r w:rsidRPr="000D3886">
        <w:rPr>
          <w:rFonts w:ascii="Times New Roman" w:hAnsi="Times New Roman" w:cs="Times New Roman"/>
          <w:sz w:val="24"/>
          <w:szCs w:val="24"/>
        </w:rPr>
        <w:t xml:space="preserve"> pri riešení porušenia ľudských práv </w:t>
      </w:r>
      <w:r w:rsidRPr="000D3886">
        <w:rPr>
          <w:rFonts w:ascii="Times New Roman" w:hAnsi="Times New Roman" w:cs="Times New Roman"/>
          <w:sz w:val="24"/>
          <w:szCs w:val="24"/>
        </w:rPr>
        <w:lastRenderedPageBreak/>
        <w:t xml:space="preserve">v škole spolupracovalo </w:t>
      </w:r>
      <w:r w:rsidRPr="000D3886">
        <w:rPr>
          <w:rFonts w:ascii="Times New Roman" w:hAnsi="Times New Roman" w:cs="Times New Roman"/>
          <w:b/>
          <w:sz w:val="24"/>
          <w:szCs w:val="24"/>
        </w:rPr>
        <w:t>s inými učiteľmi školy</w:t>
      </w:r>
      <w:r w:rsidRPr="000D3886">
        <w:rPr>
          <w:rFonts w:ascii="Times New Roman" w:hAnsi="Times New Roman" w:cs="Times New Roman"/>
          <w:sz w:val="24"/>
          <w:szCs w:val="24"/>
        </w:rPr>
        <w:t>. Práve táto spolupráca predstavuje najmenej frekventovaný spôsob riešenia problému. Pozitívny je fakt, že len dvaja z oslovených priznali, že porušenie ľudských práv v škole neriešili a ne</w:t>
      </w:r>
      <w:r w:rsidR="00E771AE">
        <w:rPr>
          <w:rFonts w:ascii="Times New Roman" w:hAnsi="Times New Roman" w:cs="Times New Roman"/>
          <w:sz w:val="24"/>
          <w:szCs w:val="24"/>
        </w:rPr>
        <w:t>chali to tak.</w:t>
      </w:r>
    </w:p>
    <w:p w:rsidR="000D3886" w:rsidRPr="00E771AE" w:rsidRDefault="00E771AE" w:rsidP="000D3886">
      <w:pPr>
        <w:pStyle w:val="Zkladntext3"/>
        <w:spacing w:after="0" w:line="240" w:lineRule="auto"/>
        <w:rPr>
          <w:rFonts w:ascii="Times New Roman" w:hAnsi="Times New Roman" w:cs="Times New Roman"/>
          <w:b/>
          <w:sz w:val="20"/>
          <w:szCs w:val="20"/>
        </w:rPr>
      </w:pPr>
      <w:r>
        <w:rPr>
          <w:rFonts w:ascii="Times New Roman" w:hAnsi="Times New Roman" w:cs="Times New Roman"/>
          <w:b/>
          <w:sz w:val="20"/>
          <w:szCs w:val="20"/>
        </w:rPr>
        <w:t>Graf 10</w:t>
      </w:r>
      <w:r w:rsidR="000D3886" w:rsidRPr="00E771AE">
        <w:rPr>
          <w:rFonts w:ascii="Times New Roman" w:hAnsi="Times New Roman" w:cs="Times New Roman"/>
          <w:b/>
          <w:sz w:val="20"/>
          <w:szCs w:val="20"/>
        </w:rPr>
        <w:t xml:space="preserve"> Spôsoby riešenia porušenia ľudských práv </w:t>
      </w:r>
    </w:p>
    <w:p w:rsidR="000D3886" w:rsidRPr="000D3886" w:rsidRDefault="008B31CB" w:rsidP="000D3886">
      <w:pPr>
        <w:pStyle w:val="Zkladntext3"/>
        <w:spacing w:after="0" w:line="240" w:lineRule="auto"/>
        <w:rPr>
          <w:rFonts w:ascii="Times New Roman" w:hAnsi="Times New Roman" w:cs="Times New Roman"/>
          <w:color w:val="FF0000"/>
          <w:sz w:val="24"/>
          <w:szCs w:val="24"/>
        </w:rPr>
      </w:pPr>
      <w:r w:rsidRPr="000D3886">
        <w:rPr>
          <w:rFonts w:ascii="Times New Roman" w:hAnsi="Times New Roman" w:cs="Times New Roman"/>
          <w:color w:val="FF0000"/>
          <w:sz w:val="24"/>
          <w:szCs w:val="24"/>
        </w:rPr>
        <w:object w:dxaOrig="9095" w:dyaOrig="2861">
          <v:shape id="_x0000_i1026" type="#_x0000_t75" style="width:454.8pt;height:142.8pt" o:ole="">
            <v:imagedata r:id="rId19" o:title=""/>
          </v:shape>
          <o:OLEObject Type="Embed" ProgID="MSGraph.Chart.8" ShapeID="_x0000_i1026" DrawAspect="Content" ObjectID="_1556430784" r:id="rId20">
            <o:FieldCodes>\s</o:FieldCodes>
          </o:OLEObject>
        </w:object>
      </w:r>
    </w:p>
    <w:p w:rsidR="000D3886" w:rsidRPr="00E771AE" w:rsidRDefault="000D3886" w:rsidP="000D3886">
      <w:pPr>
        <w:spacing w:after="0" w:line="240" w:lineRule="auto"/>
        <w:rPr>
          <w:rFonts w:ascii="Times New Roman" w:hAnsi="Times New Roman" w:cs="Times New Roman"/>
          <w:sz w:val="20"/>
          <w:szCs w:val="20"/>
        </w:rPr>
      </w:pPr>
      <w:r w:rsidRPr="00E771AE">
        <w:rPr>
          <w:rFonts w:ascii="Times New Roman" w:hAnsi="Times New Roman" w:cs="Times New Roman"/>
          <w:sz w:val="20"/>
          <w:szCs w:val="20"/>
        </w:rPr>
        <w:t>Poznámka: Súčet presahuje 100 % pre možnosti voľby viacerých odpovedí.</w:t>
      </w:r>
    </w:p>
    <w:p w:rsidR="000D3886" w:rsidRPr="00E771AE" w:rsidRDefault="000D3886" w:rsidP="000D3886">
      <w:pPr>
        <w:spacing w:after="0" w:line="240" w:lineRule="auto"/>
        <w:jc w:val="both"/>
        <w:rPr>
          <w:rFonts w:ascii="Times New Roman" w:hAnsi="Times New Roman" w:cs="Times New Roman"/>
          <w:color w:val="FF0000"/>
          <w:sz w:val="20"/>
          <w:szCs w:val="20"/>
        </w:rPr>
      </w:pPr>
    </w:p>
    <w:p w:rsidR="000D3886" w:rsidRPr="000D3886" w:rsidRDefault="000D3886" w:rsidP="00E771AE">
      <w:pPr>
        <w:spacing w:after="0" w:line="240" w:lineRule="auto"/>
        <w:jc w:val="both"/>
        <w:rPr>
          <w:rFonts w:ascii="Times New Roman" w:hAnsi="Times New Roman" w:cs="Times New Roman"/>
          <w:b/>
          <w:sz w:val="24"/>
          <w:szCs w:val="24"/>
        </w:rPr>
      </w:pPr>
      <w:r w:rsidRPr="00E771AE">
        <w:rPr>
          <w:rFonts w:ascii="Times New Roman" w:hAnsi="Times New Roman" w:cs="Times New Roman"/>
          <w:sz w:val="24"/>
          <w:szCs w:val="24"/>
        </w:rPr>
        <w:t>Riešenie porušenia ľudských práv podľa typu školy (základná a stredná škola), v ktorej oslovení učitelia pôsobia ukázali, že hoci</w:t>
      </w:r>
      <w:r w:rsidRPr="000D3886">
        <w:rPr>
          <w:rFonts w:ascii="Times New Roman" w:hAnsi="Times New Roman" w:cs="Times New Roman"/>
          <w:sz w:val="24"/>
          <w:szCs w:val="24"/>
        </w:rPr>
        <w:t xml:space="preserve"> v oboch typoch škôl prevláda spolupráca učiteľa s vedením školy pri riešení problému, častejšie sa objavuje na nižšom stupni (ZŠ 55,7 %, SŠ 49,7 %). Učitelia základných škôl sa súčasne viac snažia vzniknutý problém riešiť vlastný</w:t>
      </w:r>
      <w:r w:rsidR="008B31CB">
        <w:rPr>
          <w:rFonts w:ascii="Times New Roman" w:hAnsi="Times New Roman" w:cs="Times New Roman"/>
          <w:sz w:val="24"/>
          <w:szCs w:val="24"/>
        </w:rPr>
        <w:t>mi silami</w:t>
      </w:r>
      <w:r w:rsidRPr="000D3886">
        <w:rPr>
          <w:rFonts w:ascii="Times New Roman" w:hAnsi="Times New Roman" w:cs="Times New Roman"/>
          <w:sz w:val="24"/>
          <w:szCs w:val="24"/>
        </w:rPr>
        <w:t>, prípadne sa obrátiť o po</w:t>
      </w:r>
      <w:r w:rsidR="008B31CB">
        <w:rPr>
          <w:rFonts w:ascii="Times New Roman" w:hAnsi="Times New Roman" w:cs="Times New Roman"/>
          <w:sz w:val="24"/>
          <w:szCs w:val="24"/>
        </w:rPr>
        <w:t>moc na rodičov</w:t>
      </w:r>
      <w:r w:rsidRPr="000D3886">
        <w:rPr>
          <w:rFonts w:ascii="Times New Roman" w:hAnsi="Times New Roman" w:cs="Times New Roman"/>
          <w:sz w:val="24"/>
          <w:szCs w:val="24"/>
        </w:rPr>
        <w:t>. Naopak, riešenie porušenia ľudských práv s psychológom uviedli vo vyššom percente stredoškolskí pe</w:t>
      </w:r>
      <w:r w:rsidR="008B31CB">
        <w:rPr>
          <w:rFonts w:ascii="Times New Roman" w:hAnsi="Times New Roman" w:cs="Times New Roman"/>
          <w:sz w:val="24"/>
          <w:szCs w:val="24"/>
        </w:rPr>
        <w:t>dagógovia</w:t>
      </w:r>
      <w:r w:rsidRPr="000D3886">
        <w:rPr>
          <w:rFonts w:ascii="Times New Roman" w:hAnsi="Times New Roman" w:cs="Times New Roman"/>
          <w:sz w:val="24"/>
          <w:szCs w:val="24"/>
        </w:rPr>
        <w:t>, podobne ako spoluprácu s iným učite</w:t>
      </w:r>
      <w:r w:rsidR="008B31CB">
        <w:rPr>
          <w:rFonts w:ascii="Times New Roman" w:hAnsi="Times New Roman" w:cs="Times New Roman"/>
          <w:sz w:val="24"/>
          <w:szCs w:val="24"/>
        </w:rPr>
        <w:t>ľom školy</w:t>
      </w:r>
      <w:r w:rsidRPr="000D3886">
        <w:rPr>
          <w:rFonts w:ascii="Times New Roman" w:hAnsi="Times New Roman" w:cs="Times New Roman"/>
          <w:sz w:val="24"/>
          <w:szCs w:val="24"/>
        </w:rPr>
        <w:t xml:space="preserve">. Je zaujímavé, že dvaja z oslovených učiteľov strednej školy priznali, že problém neriešili a nechali to tak, v základných školách sa situácia neobjavila. </w:t>
      </w:r>
    </w:p>
    <w:p w:rsidR="000D3886" w:rsidRPr="000D3886" w:rsidRDefault="000D3886" w:rsidP="000D3886">
      <w:pPr>
        <w:spacing w:after="0" w:line="240" w:lineRule="auto"/>
        <w:jc w:val="both"/>
        <w:rPr>
          <w:rFonts w:ascii="Times New Roman" w:hAnsi="Times New Roman" w:cs="Times New Roman"/>
          <w:b/>
          <w:sz w:val="24"/>
          <w:szCs w:val="24"/>
        </w:rPr>
      </w:pPr>
    </w:p>
    <w:p w:rsidR="000D3886" w:rsidRPr="000D3886" w:rsidRDefault="000D3886" w:rsidP="00E771AE">
      <w:pPr>
        <w:spacing w:after="120" w:line="240" w:lineRule="auto"/>
        <w:jc w:val="both"/>
        <w:rPr>
          <w:rFonts w:ascii="Times New Roman" w:hAnsi="Times New Roman" w:cs="Times New Roman"/>
          <w:b/>
          <w:sz w:val="24"/>
          <w:szCs w:val="24"/>
        </w:rPr>
      </w:pPr>
      <w:r w:rsidRPr="000D3886">
        <w:rPr>
          <w:rFonts w:ascii="Times New Roman" w:hAnsi="Times New Roman" w:cs="Times New Roman"/>
          <w:b/>
          <w:sz w:val="24"/>
          <w:szCs w:val="24"/>
        </w:rPr>
        <w:t>Porovnanie výsledkov za roky 2005, 2008, 2011, 2013 a 2015</w:t>
      </w:r>
      <w:r w:rsidRPr="000D3886">
        <w:rPr>
          <w:rFonts w:ascii="Times New Roman" w:hAnsi="Times New Roman" w:cs="Times New Roman"/>
          <w:sz w:val="24"/>
          <w:szCs w:val="24"/>
        </w:rPr>
        <w:t xml:space="preserve"> ukázalo, že hoci poradie preferencie jednotlivých spôsobov riešenia problému porušenia ľudských práv v školskom prostredí zostalo nezmenené, prejavili sa určité rozdiely. Učitelia sa stále menej snažia problém riešiť samostatne a čoraz viac spolup</w:t>
      </w:r>
      <w:r w:rsidR="00E771AE">
        <w:rPr>
          <w:rFonts w:ascii="Times New Roman" w:hAnsi="Times New Roman" w:cs="Times New Roman"/>
          <w:sz w:val="24"/>
          <w:szCs w:val="24"/>
        </w:rPr>
        <w:t>racujú s vedením školy</w:t>
      </w:r>
      <w:r w:rsidRPr="000D3886">
        <w:rPr>
          <w:rFonts w:ascii="Times New Roman" w:hAnsi="Times New Roman" w:cs="Times New Roman"/>
          <w:sz w:val="24"/>
          <w:szCs w:val="24"/>
        </w:rPr>
        <w:t xml:space="preserve">, rodičmi </w:t>
      </w:r>
      <w:r w:rsidR="00E771AE">
        <w:rPr>
          <w:rFonts w:ascii="Times New Roman" w:hAnsi="Times New Roman" w:cs="Times New Roman"/>
          <w:sz w:val="24"/>
          <w:szCs w:val="24"/>
        </w:rPr>
        <w:t>i psychológmi</w:t>
      </w:r>
      <w:r w:rsidRPr="000D3886">
        <w:rPr>
          <w:rFonts w:ascii="Times New Roman" w:hAnsi="Times New Roman" w:cs="Times New Roman"/>
          <w:sz w:val="24"/>
          <w:szCs w:val="24"/>
        </w:rPr>
        <w:t xml:space="preserve">. Je teda zrejmé, že pedagógovia si uvedomujú závažnosť situácie, a preto pri riešení porušenia ľudských práv úzko spolupracujú s ostatnými činiteľmi. Ako dokumentujú výsledky, vzrastá percento tých, ktorí vyhľadávajú pomoc vo vedení školy, u rodičov, psychológov či iných pedagógov školy a klesá percento tých, ktorí sa snažia problém vyriešiť sami, aj keď v súčasnom výskume zaznamenávame oproti roku 2013 mierny nárast.  </w:t>
      </w:r>
    </w:p>
    <w:p w:rsidR="000D3886" w:rsidRPr="00E771AE" w:rsidRDefault="00AC7998" w:rsidP="000D3886">
      <w:pPr>
        <w:pStyle w:val="Zkladntext3"/>
        <w:spacing w:after="0" w:line="240" w:lineRule="auto"/>
        <w:rPr>
          <w:rFonts w:ascii="Times New Roman" w:hAnsi="Times New Roman" w:cs="Times New Roman"/>
          <w:b/>
          <w:sz w:val="20"/>
          <w:szCs w:val="20"/>
        </w:rPr>
      </w:pPr>
      <w:r>
        <w:rPr>
          <w:rFonts w:ascii="Times New Roman" w:hAnsi="Times New Roman" w:cs="Times New Roman"/>
          <w:b/>
          <w:sz w:val="20"/>
          <w:szCs w:val="20"/>
        </w:rPr>
        <w:t>Tabuľka 8</w:t>
      </w:r>
      <w:r w:rsidR="000D3886" w:rsidRPr="00E771AE">
        <w:rPr>
          <w:rFonts w:ascii="Times New Roman" w:hAnsi="Times New Roman" w:cs="Times New Roman"/>
          <w:b/>
          <w:sz w:val="20"/>
          <w:szCs w:val="20"/>
        </w:rPr>
        <w:t xml:space="preserve"> Spôsoby riešenia porušenia ľudských práv – porovnanie údajov (v %)</w:t>
      </w:r>
    </w:p>
    <w:tbl>
      <w:tblPr>
        <w:tblW w:w="90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9"/>
        <w:gridCol w:w="850"/>
        <w:gridCol w:w="850"/>
        <w:gridCol w:w="850"/>
        <w:gridCol w:w="850"/>
        <w:gridCol w:w="850"/>
      </w:tblGrid>
      <w:tr w:rsidR="000D3886" w:rsidRPr="000D3886" w:rsidTr="00744108">
        <w:trPr>
          <w:trHeight w:val="255"/>
        </w:trPr>
        <w:tc>
          <w:tcPr>
            <w:tcW w:w="4819" w:type="dxa"/>
            <w:shd w:val="clear" w:color="auto" w:fill="B8CCE4"/>
            <w:noWrap/>
            <w:vAlign w:val="bottom"/>
          </w:tcPr>
          <w:p w:rsidR="000D3886" w:rsidRPr="00E771AE" w:rsidRDefault="000D3886" w:rsidP="000D3886">
            <w:pPr>
              <w:spacing w:after="0" w:line="240" w:lineRule="auto"/>
              <w:jc w:val="center"/>
              <w:rPr>
                <w:rFonts w:ascii="Times New Roman" w:hAnsi="Times New Roman" w:cs="Times New Roman"/>
                <w:sz w:val="20"/>
                <w:szCs w:val="20"/>
                <w:lang w:eastAsia="cs-CZ"/>
              </w:rPr>
            </w:pPr>
          </w:p>
        </w:tc>
        <w:tc>
          <w:tcPr>
            <w:tcW w:w="850" w:type="dxa"/>
            <w:shd w:val="clear" w:color="auto" w:fill="B8CCE4"/>
            <w:vAlign w:val="center"/>
          </w:tcPr>
          <w:p w:rsidR="000D3886" w:rsidRPr="00E771AE" w:rsidRDefault="000D3886" w:rsidP="000D3886">
            <w:pPr>
              <w:spacing w:after="0" w:line="240" w:lineRule="auto"/>
              <w:jc w:val="center"/>
              <w:rPr>
                <w:rFonts w:ascii="Times New Roman" w:hAnsi="Times New Roman" w:cs="Times New Roman"/>
                <w:b/>
                <w:sz w:val="20"/>
                <w:szCs w:val="20"/>
                <w:lang w:eastAsia="cs-CZ"/>
              </w:rPr>
            </w:pPr>
            <w:r w:rsidRPr="00E771AE">
              <w:rPr>
                <w:rFonts w:ascii="Times New Roman" w:hAnsi="Times New Roman" w:cs="Times New Roman"/>
                <w:b/>
                <w:sz w:val="20"/>
                <w:szCs w:val="20"/>
                <w:lang w:eastAsia="cs-CZ"/>
              </w:rPr>
              <w:t>2005</w:t>
            </w:r>
          </w:p>
        </w:tc>
        <w:tc>
          <w:tcPr>
            <w:tcW w:w="850" w:type="dxa"/>
            <w:shd w:val="clear" w:color="auto" w:fill="B8CCE4"/>
            <w:noWrap/>
            <w:vAlign w:val="center"/>
          </w:tcPr>
          <w:p w:rsidR="000D3886" w:rsidRPr="00E771AE" w:rsidRDefault="000D3886" w:rsidP="000D3886">
            <w:pPr>
              <w:spacing w:after="0" w:line="240" w:lineRule="auto"/>
              <w:jc w:val="center"/>
              <w:rPr>
                <w:rFonts w:ascii="Times New Roman" w:hAnsi="Times New Roman" w:cs="Times New Roman"/>
                <w:b/>
                <w:sz w:val="20"/>
                <w:szCs w:val="20"/>
                <w:lang w:eastAsia="cs-CZ"/>
              </w:rPr>
            </w:pPr>
            <w:r w:rsidRPr="00E771AE">
              <w:rPr>
                <w:rFonts w:ascii="Times New Roman" w:hAnsi="Times New Roman" w:cs="Times New Roman"/>
                <w:b/>
                <w:sz w:val="20"/>
                <w:szCs w:val="20"/>
                <w:lang w:eastAsia="cs-CZ"/>
              </w:rPr>
              <w:t>2008</w:t>
            </w:r>
          </w:p>
        </w:tc>
        <w:tc>
          <w:tcPr>
            <w:tcW w:w="850" w:type="dxa"/>
            <w:shd w:val="clear" w:color="auto" w:fill="B8CCE4"/>
            <w:vAlign w:val="center"/>
          </w:tcPr>
          <w:p w:rsidR="000D3886" w:rsidRPr="00E771AE" w:rsidRDefault="000D3886" w:rsidP="000D3886">
            <w:pPr>
              <w:spacing w:after="0" w:line="240" w:lineRule="auto"/>
              <w:jc w:val="center"/>
              <w:rPr>
                <w:rFonts w:ascii="Times New Roman" w:hAnsi="Times New Roman" w:cs="Times New Roman"/>
                <w:b/>
                <w:sz w:val="20"/>
                <w:szCs w:val="20"/>
                <w:lang w:eastAsia="cs-CZ"/>
              </w:rPr>
            </w:pPr>
            <w:r w:rsidRPr="00E771AE">
              <w:rPr>
                <w:rFonts w:ascii="Times New Roman" w:hAnsi="Times New Roman" w:cs="Times New Roman"/>
                <w:b/>
                <w:sz w:val="20"/>
                <w:szCs w:val="20"/>
                <w:lang w:eastAsia="cs-CZ"/>
              </w:rPr>
              <w:t>2011</w:t>
            </w:r>
          </w:p>
        </w:tc>
        <w:tc>
          <w:tcPr>
            <w:tcW w:w="850" w:type="dxa"/>
            <w:shd w:val="clear" w:color="auto" w:fill="B8CCE4"/>
            <w:vAlign w:val="center"/>
          </w:tcPr>
          <w:p w:rsidR="000D3886" w:rsidRPr="00E771AE" w:rsidRDefault="000D3886" w:rsidP="000D3886">
            <w:pPr>
              <w:spacing w:after="0" w:line="240" w:lineRule="auto"/>
              <w:jc w:val="center"/>
              <w:rPr>
                <w:rFonts w:ascii="Times New Roman" w:hAnsi="Times New Roman" w:cs="Times New Roman"/>
                <w:b/>
                <w:sz w:val="20"/>
                <w:szCs w:val="20"/>
                <w:lang w:eastAsia="cs-CZ"/>
              </w:rPr>
            </w:pPr>
            <w:r w:rsidRPr="00E771AE">
              <w:rPr>
                <w:rFonts w:ascii="Times New Roman" w:hAnsi="Times New Roman" w:cs="Times New Roman"/>
                <w:b/>
                <w:sz w:val="20"/>
                <w:szCs w:val="20"/>
                <w:lang w:eastAsia="cs-CZ"/>
              </w:rPr>
              <w:t>2013</w:t>
            </w:r>
          </w:p>
        </w:tc>
        <w:tc>
          <w:tcPr>
            <w:tcW w:w="850" w:type="dxa"/>
            <w:shd w:val="clear" w:color="auto" w:fill="B8CCE4"/>
            <w:vAlign w:val="center"/>
          </w:tcPr>
          <w:p w:rsidR="000D3886" w:rsidRPr="00E771AE" w:rsidRDefault="000D3886" w:rsidP="000D3886">
            <w:pPr>
              <w:spacing w:after="0" w:line="240" w:lineRule="auto"/>
              <w:jc w:val="center"/>
              <w:rPr>
                <w:rFonts w:ascii="Times New Roman" w:hAnsi="Times New Roman" w:cs="Times New Roman"/>
                <w:b/>
                <w:sz w:val="20"/>
                <w:szCs w:val="20"/>
                <w:lang w:eastAsia="cs-CZ"/>
              </w:rPr>
            </w:pPr>
            <w:r w:rsidRPr="00E771AE">
              <w:rPr>
                <w:rFonts w:ascii="Times New Roman" w:hAnsi="Times New Roman" w:cs="Times New Roman"/>
                <w:b/>
                <w:sz w:val="20"/>
                <w:szCs w:val="20"/>
                <w:lang w:eastAsia="cs-CZ"/>
              </w:rPr>
              <w:t>2015</w:t>
            </w:r>
          </w:p>
        </w:tc>
      </w:tr>
      <w:tr w:rsidR="000D3886" w:rsidRPr="003B77F5" w:rsidTr="00744108">
        <w:trPr>
          <w:trHeight w:val="255"/>
        </w:trPr>
        <w:tc>
          <w:tcPr>
            <w:tcW w:w="4819" w:type="dxa"/>
            <w:shd w:val="clear" w:color="auto" w:fill="FFFFFF"/>
            <w:noWrap/>
            <w:vAlign w:val="center"/>
          </w:tcPr>
          <w:p w:rsidR="000D3886" w:rsidRPr="003B77F5" w:rsidRDefault="000D3886" w:rsidP="000D3886">
            <w:pPr>
              <w:spacing w:after="0" w:line="240" w:lineRule="auto"/>
              <w:rPr>
                <w:rFonts w:ascii="Times New Roman" w:hAnsi="Times New Roman" w:cs="Times New Roman"/>
                <w:sz w:val="20"/>
                <w:szCs w:val="20"/>
                <w:lang w:eastAsia="cs-CZ"/>
              </w:rPr>
            </w:pPr>
            <w:r w:rsidRPr="003B77F5">
              <w:rPr>
                <w:rFonts w:ascii="Times New Roman" w:hAnsi="Times New Roman" w:cs="Times New Roman"/>
                <w:sz w:val="20"/>
                <w:szCs w:val="20"/>
                <w:lang w:eastAsia="cs-CZ"/>
              </w:rPr>
              <w:t>snažím sa problém riešiť sám</w:t>
            </w:r>
          </w:p>
        </w:tc>
        <w:tc>
          <w:tcPr>
            <w:tcW w:w="850" w:type="dxa"/>
            <w:shd w:val="clear" w:color="auto" w:fill="FFFFFF"/>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46,3</w:t>
            </w:r>
          </w:p>
        </w:tc>
        <w:tc>
          <w:tcPr>
            <w:tcW w:w="850" w:type="dxa"/>
            <w:shd w:val="clear" w:color="auto" w:fill="FFFFFF"/>
            <w:noWrap/>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45,7</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39,2</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35,4</w:t>
            </w:r>
          </w:p>
        </w:tc>
        <w:tc>
          <w:tcPr>
            <w:tcW w:w="850" w:type="dxa"/>
            <w:shd w:val="clear" w:color="auto" w:fill="FFFFFF"/>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37,8</w:t>
            </w:r>
          </w:p>
        </w:tc>
      </w:tr>
      <w:tr w:rsidR="000D3886" w:rsidRPr="003B77F5" w:rsidTr="00744108">
        <w:trPr>
          <w:trHeight w:val="255"/>
        </w:trPr>
        <w:tc>
          <w:tcPr>
            <w:tcW w:w="4819" w:type="dxa"/>
            <w:shd w:val="clear" w:color="auto" w:fill="FFFFFF"/>
            <w:noWrap/>
            <w:vAlign w:val="center"/>
          </w:tcPr>
          <w:p w:rsidR="000D3886" w:rsidRPr="003B77F5" w:rsidRDefault="000D3886" w:rsidP="000D3886">
            <w:pPr>
              <w:spacing w:after="0" w:line="240" w:lineRule="auto"/>
              <w:rPr>
                <w:rFonts w:ascii="Times New Roman" w:hAnsi="Times New Roman" w:cs="Times New Roman"/>
                <w:sz w:val="20"/>
                <w:szCs w:val="20"/>
                <w:lang w:eastAsia="cs-CZ"/>
              </w:rPr>
            </w:pPr>
            <w:r w:rsidRPr="003B77F5">
              <w:rPr>
                <w:rFonts w:ascii="Times New Roman" w:hAnsi="Times New Roman" w:cs="Times New Roman"/>
                <w:sz w:val="20"/>
                <w:szCs w:val="20"/>
                <w:lang w:eastAsia="cs-CZ"/>
              </w:rPr>
              <w:t>obrátim sa na vedenie školy</w:t>
            </w:r>
          </w:p>
        </w:tc>
        <w:tc>
          <w:tcPr>
            <w:tcW w:w="850" w:type="dxa"/>
            <w:shd w:val="clear" w:color="auto" w:fill="FFFFFF"/>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39,7</w:t>
            </w:r>
          </w:p>
        </w:tc>
        <w:tc>
          <w:tcPr>
            <w:tcW w:w="850" w:type="dxa"/>
            <w:shd w:val="clear" w:color="auto" w:fill="FFFFFF"/>
            <w:noWrap/>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42,7</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52,2</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47,6</w:t>
            </w:r>
          </w:p>
        </w:tc>
        <w:tc>
          <w:tcPr>
            <w:tcW w:w="850" w:type="dxa"/>
            <w:shd w:val="clear" w:color="auto" w:fill="FFFFFF"/>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52,2</w:t>
            </w:r>
          </w:p>
        </w:tc>
      </w:tr>
      <w:tr w:rsidR="000D3886" w:rsidRPr="003B77F5" w:rsidTr="00744108">
        <w:trPr>
          <w:trHeight w:val="255"/>
        </w:trPr>
        <w:tc>
          <w:tcPr>
            <w:tcW w:w="4819" w:type="dxa"/>
            <w:shd w:val="clear" w:color="auto" w:fill="FFFFFF"/>
            <w:noWrap/>
            <w:vAlign w:val="center"/>
          </w:tcPr>
          <w:p w:rsidR="000D3886" w:rsidRPr="003B77F5" w:rsidRDefault="000D3886" w:rsidP="000D3886">
            <w:pPr>
              <w:spacing w:after="0" w:line="240" w:lineRule="auto"/>
              <w:rPr>
                <w:rFonts w:ascii="Times New Roman" w:hAnsi="Times New Roman" w:cs="Times New Roman"/>
                <w:sz w:val="20"/>
                <w:szCs w:val="20"/>
                <w:lang w:eastAsia="cs-CZ"/>
              </w:rPr>
            </w:pPr>
            <w:r w:rsidRPr="003B77F5">
              <w:rPr>
                <w:rFonts w:ascii="Times New Roman" w:hAnsi="Times New Roman" w:cs="Times New Roman"/>
                <w:sz w:val="20"/>
                <w:szCs w:val="20"/>
                <w:lang w:eastAsia="cs-CZ"/>
              </w:rPr>
              <w:t>obrátim sa na iného učiteľa</w:t>
            </w:r>
          </w:p>
        </w:tc>
        <w:tc>
          <w:tcPr>
            <w:tcW w:w="850" w:type="dxa"/>
            <w:shd w:val="clear" w:color="auto" w:fill="FFFFFF"/>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8,3</w:t>
            </w:r>
          </w:p>
        </w:tc>
        <w:tc>
          <w:tcPr>
            <w:tcW w:w="850" w:type="dxa"/>
            <w:shd w:val="clear" w:color="auto" w:fill="FFFFFF"/>
            <w:noWrap/>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15,1</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9,2</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11,9</w:t>
            </w:r>
          </w:p>
        </w:tc>
        <w:tc>
          <w:tcPr>
            <w:tcW w:w="850" w:type="dxa"/>
            <w:shd w:val="clear" w:color="auto" w:fill="FFFFFF"/>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13,6</w:t>
            </w:r>
          </w:p>
        </w:tc>
      </w:tr>
      <w:tr w:rsidR="000D3886" w:rsidRPr="003B77F5" w:rsidTr="00744108">
        <w:trPr>
          <w:trHeight w:val="255"/>
        </w:trPr>
        <w:tc>
          <w:tcPr>
            <w:tcW w:w="4819" w:type="dxa"/>
            <w:shd w:val="clear" w:color="auto" w:fill="FFFFFF"/>
            <w:noWrap/>
            <w:vAlign w:val="center"/>
          </w:tcPr>
          <w:p w:rsidR="000D3886" w:rsidRPr="003B77F5" w:rsidRDefault="000D3886" w:rsidP="000D3886">
            <w:pPr>
              <w:spacing w:after="0" w:line="240" w:lineRule="auto"/>
              <w:rPr>
                <w:rFonts w:ascii="Times New Roman" w:hAnsi="Times New Roman" w:cs="Times New Roman"/>
                <w:sz w:val="20"/>
                <w:szCs w:val="20"/>
                <w:lang w:eastAsia="cs-CZ"/>
              </w:rPr>
            </w:pPr>
            <w:r w:rsidRPr="003B77F5">
              <w:rPr>
                <w:rFonts w:ascii="Times New Roman" w:hAnsi="Times New Roman" w:cs="Times New Roman"/>
                <w:sz w:val="20"/>
                <w:szCs w:val="20"/>
                <w:lang w:eastAsia="cs-CZ"/>
              </w:rPr>
              <w:t>obrátim sa na rodičov</w:t>
            </w:r>
          </w:p>
        </w:tc>
        <w:tc>
          <w:tcPr>
            <w:tcW w:w="850" w:type="dxa"/>
            <w:shd w:val="clear" w:color="auto" w:fill="FFFFFF"/>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37,2</w:t>
            </w:r>
          </w:p>
        </w:tc>
        <w:tc>
          <w:tcPr>
            <w:tcW w:w="850" w:type="dxa"/>
            <w:shd w:val="clear" w:color="auto" w:fill="FFFFFF"/>
            <w:noWrap/>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32,9</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34,2</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30,7</w:t>
            </w:r>
          </w:p>
        </w:tc>
        <w:tc>
          <w:tcPr>
            <w:tcW w:w="850" w:type="dxa"/>
            <w:shd w:val="clear" w:color="auto" w:fill="FFFFFF"/>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39,7</w:t>
            </w:r>
          </w:p>
        </w:tc>
      </w:tr>
      <w:tr w:rsidR="000D3886" w:rsidRPr="003B77F5" w:rsidTr="00744108">
        <w:trPr>
          <w:trHeight w:val="255"/>
        </w:trPr>
        <w:tc>
          <w:tcPr>
            <w:tcW w:w="4819" w:type="dxa"/>
            <w:shd w:val="clear" w:color="auto" w:fill="FFFFFF"/>
            <w:noWrap/>
            <w:vAlign w:val="center"/>
          </w:tcPr>
          <w:p w:rsidR="000D3886" w:rsidRPr="003B77F5" w:rsidRDefault="000D3886" w:rsidP="000D3886">
            <w:pPr>
              <w:spacing w:after="0" w:line="240" w:lineRule="auto"/>
              <w:rPr>
                <w:rFonts w:ascii="Times New Roman" w:hAnsi="Times New Roman" w:cs="Times New Roman"/>
                <w:sz w:val="20"/>
                <w:szCs w:val="20"/>
                <w:lang w:eastAsia="cs-CZ"/>
              </w:rPr>
            </w:pPr>
            <w:r w:rsidRPr="003B77F5">
              <w:rPr>
                <w:rFonts w:ascii="Times New Roman" w:hAnsi="Times New Roman" w:cs="Times New Roman"/>
                <w:sz w:val="20"/>
                <w:szCs w:val="20"/>
                <w:lang w:eastAsia="cs-CZ"/>
              </w:rPr>
              <w:t>obrátim sa na psychológa</w:t>
            </w:r>
          </w:p>
        </w:tc>
        <w:tc>
          <w:tcPr>
            <w:tcW w:w="850" w:type="dxa"/>
            <w:shd w:val="clear" w:color="auto" w:fill="FFFFFF"/>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19,8</w:t>
            </w:r>
          </w:p>
        </w:tc>
        <w:tc>
          <w:tcPr>
            <w:tcW w:w="850" w:type="dxa"/>
            <w:shd w:val="clear" w:color="auto" w:fill="FFFFFF"/>
            <w:noWrap/>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19,3</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23,4</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18,0</w:t>
            </w:r>
          </w:p>
        </w:tc>
        <w:tc>
          <w:tcPr>
            <w:tcW w:w="850" w:type="dxa"/>
            <w:shd w:val="clear" w:color="auto" w:fill="FFFFFF"/>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24,2</w:t>
            </w:r>
          </w:p>
        </w:tc>
      </w:tr>
      <w:tr w:rsidR="000D3886" w:rsidRPr="003B77F5" w:rsidTr="00744108">
        <w:trPr>
          <w:trHeight w:val="255"/>
        </w:trPr>
        <w:tc>
          <w:tcPr>
            <w:tcW w:w="4819" w:type="dxa"/>
            <w:shd w:val="clear" w:color="auto" w:fill="FFFFFF"/>
            <w:noWrap/>
            <w:vAlign w:val="center"/>
          </w:tcPr>
          <w:p w:rsidR="000D3886" w:rsidRPr="003B77F5" w:rsidRDefault="000D3886" w:rsidP="000D3886">
            <w:pPr>
              <w:spacing w:after="0" w:line="240" w:lineRule="auto"/>
              <w:rPr>
                <w:rFonts w:ascii="Times New Roman" w:hAnsi="Times New Roman" w:cs="Times New Roman"/>
                <w:sz w:val="20"/>
                <w:szCs w:val="20"/>
                <w:lang w:eastAsia="cs-CZ"/>
              </w:rPr>
            </w:pPr>
            <w:r w:rsidRPr="003B77F5">
              <w:rPr>
                <w:rFonts w:ascii="Times New Roman" w:hAnsi="Times New Roman" w:cs="Times New Roman"/>
                <w:sz w:val="20"/>
                <w:szCs w:val="20"/>
                <w:lang w:eastAsia="cs-CZ"/>
              </w:rPr>
              <w:t>iným spôsobom</w:t>
            </w:r>
          </w:p>
        </w:tc>
        <w:tc>
          <w:tcPr>
            <w:tcW w:w="850" w:type="dxa"/>
            <w:shd w:val="clear" w:color="auto" w:fill="FFFFFF"/>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9,9</w:t>
            </w:r>
          </w:p>
        </w:tc>
        <w:tc>
          <w:tcPr>
            <w:tcW w:w="850" w:type="dxa"/>
            <w:shd w:val="clear" w:color="auto" w:fill="FFFFFF"/>
            <w:noWrap/>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2,8</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1,3</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1,4</w:t>
            </w:r>
          </w:p>
        </w:tc>
        <w:tc>
          <w:tcPr>
            <w:tcW w:w="850" w:type="dxa"/>
            <w:shd w:val="clear" w:color="auto" w:fill="FFFFFF"/>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2,2</w:t>
            </w:r>
          </w:p>
        </w:tc>
      </w:tr>
      <w:tr w:rsidR="000D3886" w:rsidRPr="003B77F5" w:rsidTr="00744108">
        <w:trPr>
          <w:trHeight w:val="255"/>
        </w:trPr>
        <w:tc>
          <w:tcPr>
            <w:tcW w:w="4819" w:type="dxa"/>
            <w:shd w:val="clear" w:color="auto" w:fill="FFFFFF"/>
            <w:noWrap/>
            <w:vAlign w:val="center"/>
          </w:tcPr>
          <w:p w:rsidR="000D3886" w:rsidRPr="003B77F5" w:rsidRDefault="000D3886" w:rsidP="000D3886">
            <w:pPr>
              <w:spacing w:after="0" w:line="240" w:lineRule="auto"/>
              <w:rPr>
                <w:rFonts w:ascii="Times New Roman" w:hAnsi="Times New Roman" w:cs="Times New Roman"/>
                <w:sz w:val="20"/>
                <w:szCs w:val="20"/>
                <w:lang w:eastAsia="cs-CZ"/>
              </w:rPr>
            </w:pPr>
            <w:r w:rsidRPr="003B77F5">
              <w:rPr>
                <w:rFonts w:ascii="Times New Roman" w:hAnsi="Times New Roman" w:cs="Times New Roman"/>
                <w:sz w:val="20"/>
                <w:szCs w:val="20"/>
                <w:lang w:eastAsia="cs-CZ"/>
              </w:rPr>
              <w:t>žiadnym spôsobom</w:t>
            </w:r>
          </w:p>
        </w:tc>
        <w:tc>
          <w:tcPr>
            <w:tcW w:w="850" w:type="dxa"/>
            <w:shd w:val="clear" w:color="auto" w:fill="FFFFFF"/>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0,0</w:t>
            </w:r>
          </w:p>
        </w:tc>
        <w:tc>
          <w:tcPr>
            <w:tcW w:w="850" w:type="dxa"/>
            <w:shd w:val="clear" w:color="auto" w:fill="FFFFFF"/>
            <w:noWrap/>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0,5</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0</w:t>
            </w:r>
          </w:p>
        </w:tc>
        <w:tc>
          <w:tcPr>
            <w:tcW w:w="850" w:type="dxa"/>
            <w:shd w:val="clear" w:color="auto" w:fill="FFFFFF"/>
            <w:vAlign w:val="bottom"/>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0,3</w:t>
            </w:r>
          </w:p>
        </w:tc>
        <w:tc>
          <w:tcPr>
            <w:tcW w:w="850" w:type="dxa"/>
            <w:shd w:val="clear" w:color="auto" w:fill="FFFFFF"/>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0,6</w:t>
            </w:r>
          </w:p>
        </w:tc>
      </w:tr>
      <w:tr w:rsidR="000D3886" w:rsidRPr="003B77F5" w:rsidTr="00744108">
        <w:trPr>
          <w:trHeight w:val="255"/>
        </w:trPr>
        <w:tc>
          <w:tcPr>
            <w:tcW w:w="4819" w:type="dxa"/>
            <w:shd w:val="clear" w:color="auto" w:fill="FFFFFF"/>
            <w:noWrap/>
            <w:vAlign w:val="center"/>
          </w:tcPr>
          <w:p w:rsidR="000D3886" w:rsidRPr="003B77F5" w:rsidRDefault="000D3886" w:rsidP="000D3886">
            <w:pPr>
              <w:spacing w:after="0" w:line="240" w:lineRule="auto"/>
              <w:rPr>
                <w:rFonts w:ascii="Times New Roman" w:hAnsi="Times New Roman" w:cs="Times New Roman"/>
                <w:sz w:val="20"/>
                <w:szCs w:val="20"/>
                <w:lang w:eastAsia="cs-CZ"/>
              </w:rPr>
            </w:pPr>
            <w:r w:rsidRPr="003B77F5">
              <w:rPr>
                <w:rFonts w:ascii="Times New Roman" w:hAnsi="Times New Roman" w:cs="Times New Roman"/>
                <w:sz w:val="20"/>
                <w:szCs w:val="20"/>
                <w:lang w:eastAsia="cs-CZ"/>
              </w:rPr>
              <w:t>s porušením ĽP som sa nestretol</w:t>
            </w:r>
          </w:p>
        </w:tc>
        <w:tc>
          <w:tcPr>
            <w:tcW w:w="850" w:type="dxa"/>
            <w:shd w:val="clear" w:color="auto" w:fill="FFFFFF"/>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26,4</w:t>
            </w:r>
          </w:p>
        </w:tc>
        <w:tc>
          <w:tcPr>
            <w:tcW w:w="850" w:type="dxa"/>
            <w:shd w:val="clear" w:color="auto" w:fill="FFFFFF"/>
            <w:noWrap/>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16,8</w:t>
            </w:r>
          </w:p>
        </w:tc>
        <w:tc>
          <w:tcPr>
            <w:tcW w:w="850" w:type="dxa"/>
            <w:shd w:val="clear" w:color="auto" w:fill="FFFFFF"/>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15,2</w:t>
            </w:r>
          </w:p>
        </w:tc>
        <w:tc>
          <w:tcPr>
            <w:tcW w:w="850" w:type="dxa"/>
            <w:shd w:val="clear" w:color="auto" w:fill="FFFFFF"/>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23,0</w:t>
            </w:r>
          </w:p>
        </w:tc>
        <w:tc>
          <w:tcPr>
            <w:tcW w:w="850" w:type="dxa"/>
            <w:shd w:val="clear" w:color="auto" w:fill="FFFFFF"/>
            <w:vAlign w:val="center"/>
          </w:tcPr>
          <w:p w:rsidR="000D3886" w:rsidRPr="003B77F5" w:rsidRDefault="000D3886" w:rsidP="000D3886">
            <w:pPr>
              <w:spacing w:after="0" w:line="240" w:lineRule="auto"/>
              <w:jc w:val="center"/>
              <w:rPr>
                <w:rFonts w:ascii="Times New Roman" w:hAnsi="Times New Roman" w:cs="Times New Roman"/>
                <w:sz w:val="20"/>
                <w:szCs w:val="20"/>
                <w:lang w:eastAsia="cs-CZ"/>
              </w:rPr>
            </w:pPr>
            <w:r w:rsidRPr="003B77F5">
              <w:rPr>
                <w:rFonts w:ascii="Times New Roman" w:hAnsi="Times New Roman" w:cs="Times New Roman"/>
                <w:sz w:val="20"/>
                <w:szCs w:val="20"/>
                <w:lang w:eastAsia="cs-CZ"/>
              </w:rPr>
              <w:t>21,7</w:t>
            </w:r>
          </w:p>
        </w:tc>
      </w:tr>
    </w:tbl>
    <w:p w:rsidR="00474881" w:rsidRPr="003B77F5" w:rsidRDefault="00474881" w:rsidP="008C5A35">
      <w:pPr>
        <w:pStyle w:val="Nadpis3"/>
        <w:rPr>
          <w:sz w:val="20"/>
        </w:rPr>
      </w:pPr>
      <w:bookmarkStart w:id="11" w:name="_Toc441149748"/>
    </w:p>
    <w:p w:rsidR="00474881" w:rsidRPr="00474881" w:rsidRDefault="00474881" w:rsidP="00474881"/>
    <w:p w:rsidR="008C5A35" w:rsidRPr="008C5A35" w:rsidRDefault="008C5A35" w:rsidP="008C5A35">
      <w:pPr>
        <w:pStyle w:val="Nadpis3"/>
        <w:rPr>
          <w:szCs w:val="24"/>
        </w:rPr>
      </w:pPr>
      <w:r w:rsidRPr="008C5A35">
        <w:rPr>
          <w:szCs w:val="24"/>
        </w:rPr>
        <w:lastRenderedPageBreak/>
        <w:t>Miera participácie žiakov na riešení porušenia ľudských práv</w:t>
      </w:r>
      <w:bookmarkEnd w:id="11"/>
    </w:p>
    <w:p w:rsidR="008C5A35" w:rsidRPr="008C5A35" w:rsidRDefault="008C5A35" w:rsidP="008C5A35">
      <w:pPr>
        <w:spacing w:after="120" w:line="240" w:lineRule="auto"/>
        <w:jc w:val="both"/>
        <w:rPr>
          <w:rFonts w:ascii="Times New Roman" w:hAnsi="Times New Roman" w:cs="Times New Roman"/>
          <w:sz w:val="24"/>
          <w:szCs w:val="24"/>
        </w:rPr>
      </w:pPr>
      <w:r w:rsidRPr="008C5A35">
        <w:rPr>
          <w:rFonts w:ascii="Times New Roman" w:hAnsi="Times New Roman" w:cs="Times New Roman"/>
          <w:sz w:val="24"/>
          <w:szCs w:val="24"/>
        </w:rPr>
        <w:t xml:space="preserve">V názoroch oslovených učiteľov základných a stredných škôl prevláda presvedčenie, že žiaci na porušovanie ľudských práv </w:t>
      </w:r>
      <w:r w:rsidR="00C73100">
        <w:rPr>
          <w:rFonts w:ascii="Times New Roman" w:hAnsi="Times New Roman" w:cs="Times New Roman"/>
          <w:b/>
          <w:sz w:val="24"/>
          <w:szCs w:val="24"/>
        </w:rPr>
        <w:t>poukazujú</w:t>
      </w:r>
      <w:r w:rsidRPr="008C5A35">
        <w:rPr>
          <w:rFonts w:ascii="Times New Roman" w:hAnsi="Times New Roman" w:cs="Times New Roman"/>
          <w:b/>
          <w:sz w:val="24"/>
          <w:szCs w:val="24"/>
        </w:rPr>
        <w:t>.</w:t>
      </w:r>
      <w:r w:rsidRPr="008C5A35">
        <w:rPr>
          <w:rFonts w:ascii="Times New Roman" w:hAnsi="Times New Roman" w:cs="Times New Roman"/>
          <w:sz w:val="24"/>
          <w:szCs w:val="24"/>
        </w:rPr>
        <w:t xml:space="preserve"> Z nich 15,3 % deklarovalo </w:t>
      </w:r>
      <w:r w:rsidRPr="008C5A35">
        <w:rPr>
          <w:rFonts w:ascii="Times New Roman" w:hAnsi="Times New Roman" w:cs="Times New Roman"/>
          <w:b/>
          <w:sz w:val="24"/>
          <w:szCs w:val="24"/>
        </w:rPr>
        <w:t xml:space="preserve">jednoznačné poukazovanie </w:t>
      </w:r>
      <w:r w:rsidRPr="008C5A35">
        <w:rPr>
          <w:rFonts w:ascii="Times New Roman" w:hAnsi="Times New Roman" w:cs="Times New Roman"/>
          <w:sz w:val="24"/>
          <w:szCs w:val="24"/>
        </w:rPr>
        <w:t xml:space="preserve">na porušenie ľudských práv zo strany žiakov a 32,2 % uviedlo, že žiaci na porušovanie práv </w:t>
      </w:r>
      <w:r w:rsidRPr="008C5A35">
        <w:rPr>
          <w:rFonts w:ascii="Times New Roman" w:hAnsi="Times New Roman" w:cs="Times New Roman"/>
          <w:b/>
          <w:sz w:val="24"/>
          <w:szCs w:val="24"/>
        </w:rPr>
        <w:t>skôr poukazujú, ako by ho tajili.</w:t>
      </w:r>
      <w:r w:rsidRPr="008C5A35">
        <w:rPr>
          <w:rFonts w:ascii="Times New Roman" w:hAnsi="Times New Roman" w:cs="Times New Roman"/>
          <w:sz w:val="24"/>
          <w:szCs w:val="24"/>
        </w:rPr>
        <w:t xml:space="preserve"> Na druhej strane až každý štvrtý oslov</w:t>
      </w:r>
      <w:r w:rsidR="00C73100">
        <w:rPr>
          <w:rFonts w:ascii="Times New Roman" w:hAnsi="Times New Roman" w:cs="Times New Roman"/>
          <w:sz w:val="24"/>
          <w:szCs w:val="24"/>
        </w:rPr>
        <w:t>ený pedagóg  je toho názoru</w:t>
      </w:r>
      <w:r w:rsidRPr="008C5A35">
        <w:rPr>
          <w:rFonts w:ascii="Times New Roman" w:hAnsi="Times New Roman" w:cs="Times New Roman"/>
          <w:sz w:val="24"/>
          <w:szCs w:val="24"/>
        </w:rPr>
        <w:t xml:space="preserve">, že porušenie práv v škole žiaci </w:t>
      </w:r>
      <w:r w:rsidRPr="008C5A35">
        <w:rPr>
          <w:rFonts w:ascii="Times New Roman" w:hAnsi="Times New Roman" w:cs="Times New Roman"/>
          <w:b/>
          <w:sz w:val="24"/>
          <w:szCs w:val="24"/>
        </w:rPr>
        <w:t xml:space="preserve">skôr taja ako by naň poukazovali </w:t>
      </w:r>
      <w:r w:rsidRPr="008C5A35">
        <w:rPr>
          <w:rFonts w:ascii="Times New Roman" w:hAnsi="Times New Roman" w:cs="Times New Roman"/>
          <w:sz w:val="24"/>
          <w:szCs w:val="24"/>
        </w:rPr>
        <w:t xml:space="preserve">a 2,8 % dokonca pripustilo </w:t>
      </w:r>
      <w:r w:rsidRPr="008C5A35">
        <w:rPr>
          <w:rFonts w:ascii="Times New Roman" w:hAnsi="Times New Roman" w:cs="Times New Roman"/>
          <w:b/>
          <w:sz w:val="24"/>
          <w:szCs w:val="24"/>
        </w:rPr>
        <w:t>jednoznačné zatajovanie a skrývanie problému</w:t>
      </w:r>
      <w:r w:rsidRPr="008C5A35">
        <w:rPr>
          <w:rFonts w:ascii="Times New Roman" w:hAnsi="Times New Roman" w:cs="Times New Roman"/>
          <w:sz w:val="24"/>
          <w:szCs w:val="24"/>
        </w:rPr>
        <w:t xml:space="preserve">. Až štvrtina skúmaných učiteľov sa k problému </w:t>
      </w:r>
      <w:r w:rsidRPr="008C5A35">
        <w:rPr>
          <w:rFonts w:ascii="Times New Roman" w:hAnsi="Times New Roman" w:cs="Times New Roman"/>
          <w:b/>
          <w:sz w:val="24"/>
          <w:szCs w:val="24"/>
        </w:rPr>
        <w:t>nevedelo vyjadriť</w:t>
      </w:r>
      <w:r w:rsidRPr="008C5A35">
        <w:rPr>
          <w:rFonts w:ascii="Times New Roman" w:hAnsi="Times New Roman" w:cs="Times New Roman"/>
          <w:sz w:val="24"/>
          <w:szCs w:val="24"/>
        </w:rPr>
        <w:t xml:space="preserve">. Ide pravdepodobne o súbor učiteľov, ktorí uviedli, že k porušeniu ľudských práv u nich v škole nedochádza. </w:t>
      </w:r>
    </w:p>
    <w:p w:rsidR="008C5A35" w:rsidRPr="008C5A35" w:rsidRDefault="008C5A35" w:rsidP="008C5A35">
      <w:pPr>
        <w:spacing w:after="0" w:line="240" w:lineRule="auto"/>
        <w:rPr>
          <w:rFonts w:ascii="Times New Roman" w:hAnsi="Times New Roman" w:cs="Times New Roman"/>
          <w:b/>
          <w:sz w:val="20"/>
          <w:szCs w:val="20"/>
        </w:rPr>
      </w:pPr>
      <w:r>
        <w:rPr>
          <w:rFonts w:ascii="Times New Roman" w:hAnsi="Times New Roman" w:cs="Times New Roman"/>
          <w:b/>
          <w:sz w:val="20"/>
          <w:szCs w:val="20"/>
        </w:rPr>
        <w:t>Graf 11</w:t>
      </w:r>
      <w:r w:rsidRPr="008C5A35">
        <w:rPr>
          <w:rFonts w:ascii="Times New Roman" w:hAnsi="Times New Roman" w:cs="Times New Roman"/>
          <w:b/>
          <w:sz w:val="20"/>
          <w:szCs w:val="20"/>
        </w:rPr>
        <w:t xml:space="preserve"> Participácia žiakov na riešení porušenia ľudských práv </w:t>
      </w:r>
    </w:p>
    <w:p w:rsidR="008C5A35" w:rsidRPr="008C5A35" w:rsidRDefault="008C5A35" w:rsidP="008C5A35">
      <w:pPr>
        <w:spacing w:after="0" w:line="240" w:lineRule="auto"/>
        <w:jc w:val="both"/>
        <w:rPr>
          <w:rFonts w:ascii="Times New Roman" w:hAnsi="Times New Roman" w:cs="Times New Roman"/>
          <w:color w:val="FF0000"/>
          <w:sz w:val="24"/>
          <w:szCs w:val="24"/>
        </w:rPr>
      </w:pPr>
      <w:r w:rsidRPr="008C5A35">
        <w:rPr>
          <w:rFonts w:ascii="Times New Roman" w:hAnsi="Times New Roman" w:cs="Times New Roman"/>
          <w:noProof/>
          <w:color w:val="FF0000"/>
          <w:sz w:val="24"/>
          <w:szCs w:val="24"/>
          <w:lang w:eastAsia="sk-SK"/>
        </w:rPr>
        <w:drawing>
          <wp:inline distT="0" distB="0" distL="0" distR="0" wp14:anchorId="71D6FEFB" wp14:editId="6000E170">
            <wp:extent cx="5791200" cy="1600200"/>
            <wp:effectExtent l="0" t="0" r="0" b="0"/>
            <wp:docPr id="12" name="Graf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5A35" w:rsidRPr="008C5A35" w:rsidRDefault="008C5A35" w:rsidP="008C5A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8C5A35">
        <w:rPr>
          <w:rFonts w:ascii="Times New Roman" w:hAnsi="Times New Roman" w:cs="Times New Roman"/>
          <w:sz w:val="24"/>
          <w:szCs w:val="24"/>
        </w:rPr>
        <w:t xml:space="preserve">a porušovanie ľudských práv poukazujú (poukazujú a skôr poukazujú ako taja) viac žiaci základných </w:t>
      </w:r>
      <w:r w:rsidR="00C73100">
        <w:rPr>
          <w:rFonts w:ascii="Times New Roman" w:hAnsi="Times New Roman" w:cs="Times New Roman"/>
          <w:sz w:val="24"/>
          <w:szCs w:val="24"/>
        </w:rPr>
        <w:t>škôl</w:t>
      </w:r>
      <w:r w:rsidRPr="008C5A35">
        <w:rPr>
          <w:rFonts w:ascii="Times New Roman" w:hAnsi="Times New Roman" w:cs="Times New Roman"/>
          <w:sz w:val="24"/>
          <w:szCs w:val="24"/>
        </w:rPr>
        <w:t>, pričom len necelá pätina učiteľov základných aj stredných škôl deklarovala jednoznačné upozornenie žiakov na porušovanie ľudských prá</w:t>
      </w:r>
      <w:r w:rsidR="00C73100">
        <w:rPr>
          <w:rFonts w:ascii="Times New Roman" w:hAnsi="Times New Roman" w:cs="Times New Roman"/>
          <w:sz w:val="24"/>
          <w:szCs w:val="24"/>
        </w:rPr>
        <w:t xml:space="preserve">v v škole </w:t>
      </w:r>
      <w:r w:rsidRPr="008C5A35">
        <w:rPr>
          <w:rFonts w:ascii="Times New Roman" w:hAnsi="Times New Roman" w:cs="Times New Roman"/>
          <w:sz w:val="24"/>
          <w:szCs w:val="24"/>
        </w:rPr>
        <w:t>. Uvedená skutočnosť je opäť výraznejšia v prostredí základných škôl. Naopak, sú to stredoškoláci, ktorí častejšie porušenie ľudských práv skôr</w:t>
      </w:r>
      <w:r w:rsidR="00C73100">
        <w:rPr>
          <w:rFonts w:ascii="Times New Roman" w:hAnsi="Times New Roman" w:cs="Times New Roman"/>
          <w:sz w:val="24"/>
          <w:szCs w:val="24"/>
        </w:rPr>
        <w:t xml:space="preserve"> zatajujú, pričom</w:t>
      </w:r>
      <w:r w:rsidRPr="008C5A35">
        <w:rPr>
          <w:rFonts w:ascii="Times New Roman" w:hAnsi="Times New Roman" w:cs="Times New Roman"/>
          <w:sz w:val="24"/>
          <w:szCs w:val="24"/>
        </w:rPr>
        <w:t xml:space="preserve"> jednoznačné zakrývanie skutku je rozšírenejšie na nižšom stupni, teda v základných školách (ZŠ 4,3 %, SŠ 1,6 %). </w:t>
      </w:r>
    </w:p>
    <w:p w:rsidR="008C5A35" w:rsidRPr="008C5A35" w:rsidRDefault="008C5A35" w:rsidP="008C5A35">
      <w:pPr>
        <w:spacing w:after="0" w:line="240" w:lineRule="auto"/>
        <w:jc w:val="both"/>
        <w:rPr>
          <w:rFonts w:ascii="Times New Roman" w:hAnsi="Times New Roman" w:cs="Times New Roman"/>
          <w:sz w:val="24"/>
          <w:szCs w:val="24"/>
        </w:rPr>
      </w:pPr>
    </w:p>
    <w:p w:rsidR="008C5A35" w:rsidRPr="008C5A35" w:rsidRDefault="008C5A35" w:rsidP="008C5A35">
      <w:pPr>
        <w:spacing w:after="120" w:line="240" w:lineRule="auto"/>
        <w:jc w:val="both"/>
        <w:rPr>
          <w:rFonts w:ascii="Times New Roman" w:hAnsi="Times New Roman" w:cs="Times New Roman"/>
          <w:sz w:val="24"/>
          <w:szCs w:val="24"/>
        </w:rPr>
      </w:pPr>
      <w:r w:rsidRPr="008C5A35">
        <w:rPr>
          <w:rFonts w:ascii="Times New Roman" w:hAnsi="Times New Roman" w:cs="Times New Roman"/>
          <w:sz w:val="24"/>
          <w:szCs w:val="24"/>
        </w:rPr>
        <w:t>Tabuľka 9 poukazuje na vývojové trendy skúmanej problematiky participácie žiakov pri objasňovaní porušovania ľu</w:t>
      </w:r>
      <w:r>
        <w:rPr>
          <w:rFonts w:ascii="Times New Roman" w:hAnsi="Times New Roman" w:cs="Times New Roman"/>
          <w:sz w:val="24"/>
          <w:szCs w:val="24"/>
        </w:rPr>
        <w:t>dských práv v prostredí školy.</w:t>
      </w:r>
    </w:p>
    <w:p w:rsidR="008C5A35" w:rsidRPr="008C5A35" w:rsidRDefault="00C9224D" w:rsidP="008C5A35">
      <w:pPr>
        <w:spacing w:after="0" w:line="240" w:lineRule="auto"/>
        <w:rPr>
          <w:rFonts w:ascii="Times New Roman" w:hAnsi="Times New Roman" w:cs="Times New Roman"/>
          <w:b/>
          <w:sz w:val="20"/>
          <w:szCs w:val="20"/>
        </w:rPr>
      </w:pPr>
      <w:r>
        <w:rPr>
          <w:rFonts w:ascii="Times New Roman" w:hAnsi="Times New Roman" w:cs="Times New Roman"/>
          <w:b/>
          <w:sz w:val="20"/>
          <w:szCs w:val="20"/>
        </w:rPr>
        <w:t>Tabuľka 9</w:t>
      </w:r>
      <w:r w:rsidR="008C5A35" w:rsidRPr="008C5A35">
        <w:rPr>
          <w:rFonts w:ascii="Times New Roman" w:hAnsi="Times New Roman" w:cs="Times New Roman"/>
          <w:b/>
          <w:sz w:val="20"/>
          <w:szCs w:val="20"/>
        </w:rPr>
        <w:t xml:space="preserve"> Miera participácie žiakov na riešení porušenia práv – porovnanie údajov (v %)</w:t>
      </w:r>
    </w:p>
    <w:tbl>
      <w:tblPr>
        <w:tblW w:w="4988" w:type="pct"/>
        <w:tblCellMar>
          <w:left w:w="70" w:type="dxa"/>
          <w:right w:w="70" w:type="dxa"/>
        </w:tblCellMar>
        <w:tblLook w:val="0000" w:firstRow="0" w:lastRow="0" w:firstColumn="0" w:lastColumn="0" w:noHBand="0" w:noVBand="0"/>
      </w:tblPr>
      <w:tblGrid>
        <w:gridCol w:w="3038"/>
        <w:gridCol w:w="1231"/>
        <w:gridCol w:w="1231"/>
        <w:gridCol w:w="1230"/>
        <w:gridCol w:w="1230"/>
        <w:gridCol w:w="1230"/>
      </w:tblGrid>
      <w:tr w:rsidR="008C5A35" w:rsidRPr="008C5A35" w:rsidTr="00C9224D">
        <w:trPr>
          <w:trHeight w:val="255"/>
        </w:trPr>
        <w:tc>
          <w:tcPr>
            <w:tcW w:w="1653" w:type="pct"/>
            <w:tcBorders>
              <w:top w:val="single" w:sz="4" w:space="0" w:color="auto"/>
              <w:left w:val="single" w:sz="4" w:space="0" w:color="auto"/>
              <w:bottom w:val="single" w:sz="4" w:space="0" w:color="auto"/>
              <w:right w:val="single" w:sz="4" w:space="0" w:color="auto"/>
            </w:tcBorders>
            <w:shd w:val="clear" w:color="auto" w:fill="B8CCE4"/>
            <w:noWrap/>
            <w:vAlign w:val="center"/>
          </w:tcPr>
          <w:p w:rsidR="008C5A35" w:rsidRPr="008C5A35" w:rsidRDefault="008C5A35" w:rsidP="008C5A35">
            <w:pPr>
              <w:spacing w:after="0" w:line="240" w:lineRule="auto"/>
              <w:rPr>
                <w:rFonts w:ascii="Times New Roman" w:hAnsi="Times New Roman" w:cs="Times New Roman"/>
                <w:sz w:val="20"/>
                <w:szCs w:val="20"/>
                <w:lang w:eastAsia="sk-SK"/>
              </w:rPr>
            </w:pPr>
            <w:r w:rsidRPr="008C5A35">
              <w:rPr>
                <w:rFonts w:ascii="Times New Roman" w:hAnsi="Times New Roman" w:cs="Times New Roman"/>
                <w:sz w:val="20"/>
                <w:szCs w:val="20"/>
                <w:lang w:eastAsia="sk-SK"/>
              </w:rPr>
              <w:t> </w:t>
            </w:r>
          </w:p>
        </w:tc>
        <w:tc>
          <w:tcPr>
            <w:tcW w:w="670" w:type="pct"/>
            <w:tcBorders>
              <w:top w:val="single" w:sz="4" w:space="0" w:color="auto"/>
              <w:left w:val="nil"/>
              <w:bottom w:val="single" w:sz="4" w:space="0" w:color="auto"/>
              <w:right w:val="single" w:sz="4" w:space="0" w:color="auto"/>
            </w:tcBorders>
            <w:shd w:val="clear" w:color="auto" w:fill="B8CCE4"/>
            <w:vAlign w:val="center"/>
          </w:tcPr>
          <w:p w:rsidR="008C5A35" w:rsidRPr="008C5A35" w:rsidRDefault="008C5A35" w:rsidP="008C5A35">
            <w:pPr>
              <w:spacing w:after="0" w:line="240" w:lineRule="auto"/>
              <w:jc w:val="center"/>
              <w:rPr>
                <w:rFonts w:ascii="Times New Roman" w:hAnsi="Times New Roman" w:cs="Times New Roman"/>
                <w:b/>
                <w:sz w:val="20"/>
                <w:szCs w:val="20"/>
                <w:lang w:eastAsia="sk-SK"/>
              </w:rPr>
            </w:pPr>
            <w:r w:rsidRPr="008C5A35">
              <w:rPr>
                <w:rFonts w:ascii="Times New Roman" w:hAnsi="Times New Roman" w:cs="Times New Roman"/>
                <w:b/>
                <w:sz w:val="20"/>
                <w:szCs w:val="20"/>
                <w:lang w:eastAsia="sk-SK"/>
              </w:rPr>
              <w:t>2005</w:t>
            </w:r>
          </w:p>
        </w:tc>
        <w:tc>
          <w:tcPr>
            <w:tcW w:w="670" w:type="pct"/>
            <w:tcBorders>
              <w:top w:val="single" w:sz="4" w:space="0" w:color="auto"/>
              <w:left w:val="single" w:sz="4" w:space="0" w:color="auto"/>
              <w:bottom w:val="single" w:sz="4" w:space="0" w:color="auto"/>
              <w:right w:val="single" w:sz="4" w:space="0" w:color="auto"/>
            </w:tcBorders>
            <w:shd w:val="clear" w:color="auto" w:fill="B8CCE4"/>
            <w:vAlign w:val="center"/>
          </w:tcPr>
          <w:p w:rsidR="008C5A35" w:rsidRPr="008C5A35" w:rsidRDefault="008C5A35" w:rsidP="008C5A35">
            <w:pPr>
              <w:spacing w:after="0" w:line="240" w:lineRule="auto"/>
              <w:jc w:val="center"/>
              <w:rPr>
                <w:rFonts w:ascii="Times New Roman" w:hAnsi="Times New Roman" w:cs="Times New Roman"/>
                <w:b/>
                <w:sz w:val="20"/>
                <w:szCs w:val="20"/>
                <w:lang w:eastAsia="sk-SK"/>
              </w:rPr>
            </w:pPr>
            <w:r w:rsidRPr="008C5A35">
              <w:rPr>
                <w:rFonts w:ascii="Times New Roman" w:hAnsi="Times New Roman" w:cs="Times New Roman"/>
                <w:b/>
                <w:sz w:val="20"/>
                <w:szCs w:val="20"/>
                <w:lang w:eastAsia="sk-SK"/>
              </w:rPr>
              <w:t>2,14</w:t>
            </w:r>
          </w:p>
        </w:tc>
        <w:tc>
          <w:tcPr>
            <w:tcW w:w="669" w:type="pct"/>
            <w:tcBorders>
              <w:top w:val="single" w:sz="4" w:space="0" w:color="auto"/>
              <w:left w:val="single" w:sz="4" w:space="0" w:color="auto"/>
              <w:bottom w:val="single" w:sz="4" w:space="0" w:color="auto"/>
              <w:right w:val="single" w:sz="4" w:space="0" w:color="auto"/>
            </w:tcBorders>
            <w:shd w:val="clear" w:color="auto" w:fill="B8CCE4"/>
            <w:vAlign w:val="center"/>
          </w:tcPr>
          <w:p w:rsidR="008C5A35" w:rsidRPr="008C5A35" w:rsidRDefault="008C5A35" w:rsidP="008C5A35">
            <w:pPr>
              <w:spacing w:after="0" w:line="240" w:lineRule="auto"/>
              <w:jc w:val="center"/>
              <w:rPr>
                <w:rFonts w:ascii="Times New Roman" w:hAnsi="Times New Roman" w:cs="Times New Roman"/>
                <w:b/>
                <w:sz w:val="20"/>
                <w:szCs w:val="20"/>
                <w:lang w:eastAsia="sk-SK"/>
              </w:rPr>
            </w:pPr>
            <w:r w:rsidRPr="008C5A35">
              <w:rPr>
                <w:rFonts w:ascii="Times New Roman" w:hAnsi="Times New Roman" w:cs="Times New Roman"/>
                <w:b/>
                <w:sz w:val="20"/>
                <w:szCs w:val="20"/>
                <w:lang w:eastAsia="sk-SK"/>
              </w:rPr>
              <w:t>2011</w:t>
            </w:r>
          </w:p>
        </w:tc>
        <w:tc>
          <w:tcPr>
            <w:tcW w:w="669" w:type="pct"/>
            <w:tcBorders>
              <w:top w:val="single" w:sz="4" w:space="0" w:color="auto"/>
              <w:left w:val="single" w:sz="4" w:space="0" w:color="auto"/>
              <w:bottom w:val="single" w:sz="4" w:space="0" w:color="auto"/>
              <w:right w:val="single" w:sz="4" w:space="0" w:color="auto"/>
            </w:tcBorders>
            <w:shd w:val="clear" w:color="auto" w:fill="B8CCE4"/>
            <w:vAlign w:val="center"/>
          </w:tcPr>
          <w:p w:rsidR="008C5A35" w:rsidRPr="008C5A35" w:rsidRDefault="008C5A35" w:rsidP="008C5A35">
            <w:pPr>
              <w:spacing w:after="0" w:line="240" w:lineRule="auto"/>
              <w:jc w:val="center"/>
              <w:rPr>
                <w:rFonts w:ascii="Times New Roman" w:hAnsi="Times New Roman" w:cs="Times New Roman"/>
                <w:b/>
                <w:sz w:val="20"/>
                <w:szCs w:val="20"/>
                <w:lang w:eastAsia="sk-SK"/>
              </w:rPr>
            </w:pPr>
            <w:r w:rsidRPr="008C5A35">
              <w:rPr>
                <w:rFonts w:ascii="Times New Roman" w:hAnsi="Times New Roman" w:cs="Times New Roman"/>
                <w:b/>
                <w:sz w:val="20"/>
                <w:szCs w:val="20"/>
                <w:lang w:eastAsia="sk-SK"/>
              </w:rPr>
              <w:t>2013</w:t>
            </w:r>
          </w:p>
        </w:tc>
        <w:tc>
          <w:tcPr>
            <w:tcW w:w="669" w:type="pct"/>
            <w:tcBorders>
              <w:top w:val="single" w:sz="4" w:space="0" w:color="auto"/>
              <w:left w:val="single" w:sz="4" w:space="0" w:color="auto"/>
              <w:bottom w:val="single" w:sz="4" w:space="0" w:color="auto"/>
              <w:right w:val="single" w:sz="4" w:space="0" w:color="auto"/>
            </w:tcBorders>
            <w:shd w:val="clear" w:color="auto" w:fill="B8CCE4"/>
            <w:vAlign w:val="center"/>
          </w:tcPr>
          <w:p w:rsidR="008C5A35" w:rsidRPr="008C5A35" w:rsidRDefault="008C5A35" w:rsidP="008C5A35">
            <w:pPr>
              <w:spacing w:after="0" w:line="240" w:lineRule="auto"/>
              <w:jc w:val="center"/>
              <w:rPr>
                <w:rFonts w:ascii="Times New Roman" w:hAnsi="Times New Roman" w:cs="Times New Roman"/>
                <w:b/>
                <w:sz w:val="20"/>
                <w:szCs w:val="20"/>
                <w:lang w:eastAsia="sk-SK"/>
              </w:rPr>
            </w:pPr>
            <w:r w:rsidRPr="008C5A35">
              <w:rPr>
                <w:rFonts w:ascii="Times New Roman" w:hAnsi="Times New Roman" w:cs="Times New Roman"/>
                <w:b/>
                <w:sz w:val="20"/>
                <w:szCs w:val="20"/>
                <w:lang w:eastAsia="sk-SK"/>
              </w:rPr>
              <w:t>2015</w:t>
            </w:r>
          </w:p>
        </w:tc>
      </w:tr>
      <w:tr w:rsidR="008C5A35" w:rsidRPr="008C5A35" w:rsidTr="00C9224D">
        <w:trPr>
          <w:trHeight w:val="255"/>
        </w:trPr>
        <w:tc>
          <w:tcPr>
            <w:tcW w:w="1653" w:type="pct"/>
            <w:tcBorders>
              <w:top w:val="nil"/>
              <w:left w:val="single" w:sz="4" w:space="0" w:color="auto"/>
              <w:bottom w:val="single" w:sz="4" w:space="0" w:color="auto"/>
              <w:right w:val="single" w:sz="4" w:space="0" w:color="auto"/>
            </w:tcBorders>
            <w:shd w:val="clear" w:color="auto" w:fill="FFFFFF"/>
            <w:noWrap/>
            <w:vAlign w:val="center"/>
          </w:tcPr>
          <w:p w:rsidR="008C5A35" w:rsidRPr="008C5A35" w:rsidRDefault="008C5A35" w:rsidP="008C5A35">
            <w:pPr>
              <w:spacing w:after="0" w:line="240" w:lineRule="auto"/>
              <w:rPr>
                <w:rFonts w:ascii="Times New Roman" w:hAnsi="Times New Roman" w:cs="Times New Roman"/>
                <w:sz w:val="20"/>
                <w:szCs w:val="20"/>
                <w:lang w:eastAsia="sk-SK"/>
              </w:rPr>
            </w:pPr>
            <w:r w:rsidRPr="008C5A35">
              <w:rPr>
                <w:rFonts w:ascii="Times New Roman" w:hAnsi="Times New Roman" w:cs="Times New Roman"/>
                <w:sz w:val="20"/>
                <w:szCs w:val="20"/>
                <w:lang w:eastAsia="sk-SK"/>
              </w:rPr>
              <w:t>poukazujú</w:t>
            </w:r>
          </w:p>
        </w:tc>
        <w:tc>
          <w:tcPr>
            <w:tcW w:w="670" w:type="pct"/>
            <w:tcBorders>
              <w:top w:val="single" w:sz="4" w:space="0" w:color="auto"/>
              <w:left w:val="nil"/>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23,1</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19,6</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bottom"/>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21,0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bottom"/>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19,0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15,3</w:t>
            </w:r>
          </w:p>
        </w:tc>
      </w:tr>
      <w:tr w:rsidR="008C5A35" w:rsidRPr="008C5A35" w:rsidTr="00C9224D">
        <w:trPr>
          <w:trHeight w:val="255"/>
        </w:trPr>
        <w:tc>
          <w:tcPr>
            <w:tcW w:w="1653" w:type="pct"/>
            <w:tcBorders>
              <w:top w:val="nil"/>
              <w:left w:val="single" w:sz="4" w:space="0" w:color="auto"/>
              <w:bottom w:val="single" w:sz="4" w:space="0" w:color="auto"/>
              <w:right w:val="single" w:sz="4" w:space="0" w:color="auto"/>
            </w:tcBorders>
            <w:shd w:val="clear" w:color="auto" w:fill="FFFFFF"/>
            <w:noWrap/>
            <w:vAlign w:val="center"/>
          </w:tcPr>
          <w:p w:rsidR="008C5A35" w:rsidRPr="008C5A35" w:rsidRDefault="008C5A35" w:rsidP="008C5A35">
            <w:pPr>
              <w:spacing w:after="0" w:line="240" w:lineRule="auto"/>
              <w:rPr>
                <w:rFonts w:ascii="Times New Roman" w:hAnsi="Times New Roman" w:cs="Times New Roman"/>
                <w:sz w:val="20"/>
                <w:szCs w:val="20"/>
                <w:lang w:eastAsia="sk-SK"/>
              </w:rPr>
            </w:pPr>
            <w:r w:rsidRPr="008C5A35">
              <w:rPr>
                <w:rFonts w:ascii="Times New Roman" w:hAnsi="Times New Roman" w:cs="Times New Roman"/>
                <w:sz w:val="20"/>
                <w:szCs w:val="20"/>
                <w:lang w:eastAsia="sk-SK"/>
              </w:rPr>
              <w:t>skôr poukazujú ako taja</w:t>
            </w:r>
          </w:p>
        </w:tc>
        <w:tc>
          <w:tcPr>
            <w:tcW w:w="670" w:type="pct"/>
            <w:tcBorders>
              <w:top w:val="single" w:sz="4" w:space="0" w:color="auto"/>
              <w:left w:val="nil"/>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31,4</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37,2</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bottom"/>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34,9</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bottom"/>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34,7</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32,2</w:t>
            </w:r>
          </w:p>
        </w:tc>
      </w:tr>
      <w:tr w:rsidR="008C5A35" w:rsidRPr="008C5A35" w:rsidTr="00C9224D">
        <w:trPr>
          <w:trHeight w:val="255"/>
        </w:trPr>
        <w:tc>
          <w:tcPr>
            <w:tcW w:w="1653" w:type="pct"/>
            <w:tcBorders>
              <w:top w:val="nil"/>
              <w:left w:val="single" w:sz="4" w:space="0" w:color="auto"/>
              <w:bottom w:val="single" w:sz="4" w:space="0" w:color="auto"/>
              <w:right w:val="single" w:sz="4" w:space="0" w:color="auto"/>
            </w:tcBorders>
            <w:shd w:val="clear" w:color="auto" w:fill="FFFFFF"/>
            <w:noWrap/>
            <w:vAlign w:val="center"/>
          </w:tcPr>
          <w:p w:rsidR="008C5A35" w:rsidRPr="008C5A35" w:rsidRDefault="008C5A35" w:rsidP="008C5A35">
            <w:pPr>
              <w:spacing w:after="0" w:line="240" w:lineRule="auto"/>
              <w:rPr>
                <w:rFonts w:ascii="Times New Roman" w:hAnsi="Times New Roman" w:cs="Times New Roman"/>
                <w:sz w:val="20"/>
                <w:szCs w:val="20"/>
                <w:lang w:eastAsia="sk-SK"/>
              </w:rPr>
            </w:pPr>
            <w:r w:rsidRPr="008C5A35">
              <w:rPr>
                <w:rFonts w:ascii="Times New Roman" w:hAnsi="Times New Roman" w:cs="Times New Roman"/>
                <w:sz w:val="20"/>
                <w:szCs w:val="20"/>
                <w:lang w:eastAsia="sk-SK"/>
              </w:rPr>
              <w:t>skôr taja ako poukazujú</w:t>
            </w:r>
          </w:p>
        </w:tc>
        <w:tc>
          <w:tcPr>
            <w:tcW w:w="670" w:type="pct"/>
            <w:tcBorders>
              <w:top w:val="single" w:sz="4" w:space="0" w:color="auto"/>
              <w:left w:val="nil"/>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18,2</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18,6</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bottom"/>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23,2</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bottom"/>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17,9</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25,1</w:t>
            </w:r>
          </w:p>
        </w:tc>
      </w:tr>
      <w:tr w:rsidR="008C5A35" w:rsidRPr="008C5A35" w:rsidTr="00C9224D">
        <w:trPr>
          <w:trHeight w:val="255"/>
        </w:trPr>
        <w:tc>
          <w:tcPr>
            <w:tcW w:w="1653" w:type="pct"/>
            <w:tcBorders>
              <w:top w:val="nil"/>
              <w:left w:val="single" w:sz="4" w:space="0" w:color="auto"/>
              <w:bottom w:val="single" w:sz="4" w:space="0" w:color="auto"/>
              <w:right w:val="single" w:sz="4" w:space="0" w:color="auto"/>
            </w:tcBorders>
            <w:shd w:val="clear" w:color="auto" w:fill="FFFFFF"/>
            <w:noWrap/>
            <w:vAlign w:val="center"/>
          </w:tcPr>
          <w:p w:rsidR="008C5A35" w:rsidRPr="008C5A35" w:rsidRDefault="008C5A35" w:rsidP="008C5A35">
            <w:pPr>
              <w:spacing w:after="0" w:line="240" w:lineRule="auto"/>
              <w:rPr>
                <w:rFonts w:ascii="Times New Roman" w:hAnsi="Times New Roman" w:cs="Times New Roman"/>
                <w:sz w:val="20"/>
                <w:szCs w:val="20"/>
                <w:lang w:eastAsia="sk-SK"/>
              </w:rPr>
            </w:pPr>
            <w:r w:rsidRPr="008C5A35">
              <w:rPr>
                <w:rFonts w:ascii="Times New Roman" w:hAnsi="Times New Roman" w:cs="Times New Roman"/>
                <w:sz w:val="20"/>
                <w:szCs w:val="20"/>
                <w:lang w:eastAsia="sk-SK"/>
              </w:rPr>
              <w:t>taja</w:t>
            </w:r>
          </w:p>
        </w:tc>
        <w:tc>
          <w:tcPr>
            <w:tcW w:w="670" w:type="pct"/>
            <w:tcBorders>
              <w:top w:val="single" w:sz="4" w:space="0" w:color="auto"/>
              <w:left w:val="nil"/>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1,7</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3,3</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bottom"/>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1,6</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bottom"/>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3,6</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2,8</w:t>
            </w:r>
          </w:p>
        </w:tc>
      </w:tr>
      <w:tr w:rsidR="008C5A35" w:rsidRPr="008C5A35" w:rsidTr="00C9224D">
        <w:trPr>
          <w:trHeight w:val="255"/>
        </w:trPr>
        <w:tc>
          <w:tcPr>
            <w:tcW w:w="1653" w:type="pct"/>
            <w:tcBorders>
              <w:top w:val="nil"/>
              <w:left w:val="single" w:sz="4" w:space="0" w:color="auto"/>
              <w:bottom w:val="single" w:sz="4" w:space="0" w:color="auto"/>
              <w:right w:val="single" w:sz="4" w:space="0" w:color="auto"/>
            </w:tcBorders>
            <w:shd w:val="clear" w:color="auto" w:fill="FFFFFF"/>
            <w:noWrap/>
            <w:vAlign w:val="center"/>
          </w:tcPr>
          <w:p w:rsidR="008C5A35" w:rsidRPr="008C5A35" w:rsidRDefault="008C5A35" w:rsidP="008C5A35">
            <w:pPr>
              <w:spacing w:after="0" w:line="240" w:lineRule="auto"/>
              <w:rPr>
                <w:rFonts w:ascii="Times New Roman" w:hAnsi="Times New Roman" w:cs="Times New Roman"/>
                <w:sz w:val="20"/>
                <w:szCs w:val="20"/>
                <w:lang w:eastAsia="sk-SK"/>
              </w:rPr>
            </w:pPr>
            <w:r w:rsidRPr="008C5A35">
              <w:rPr>
                <w:rFonts w:ascii="Times New Roman" w:hAnsi="Times New Roman" w:cs="Times New Roman"/>
                <w:sz w:val="20"/>
                <w:szCs w:val="20"/>
                <w:lang w:eastAsia="sk-SK"/>
              </w:rPr>
              <w:t>neviem posúdiť</w:t>
            </w:r>
          </w:p>
        </w:tc>
        <w:tc>
          <w:tcPr>
            <w:tcW w:w="670" w:type="pct"/>
            <w:tcBorders>
              <w:top w:val="single" w:sz="4" w:space="0" w:color="auto"/>
              <w:left w:val="nil"/>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24,0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21,4</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bottom"/>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19,4</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bottom"/>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24,8</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8C5A35" w:rsidRPr="008C5A35" w:rsidRDefault="008C5A35" w:rsidP="008C5A35">
            <w:pPr>
              <w:spacing w:after="0" w:line="240" w:lineRule="auto"/>
              <w:jc w:val="center"/>
              <w:rPr>
                <w:rFonts w:ascii="Times New Roman" w:hAnsi="Times New Roman" w:cs="Times New Roman"/>
                <w:sz w:val="20"/>
                <w:szCs w:val="20"/>
                <w:lang w:eastAsia="sk-SK"/>
              </w:rPr>
            </w:pPr>
            <w:r w:rsidRPr="008C5A35">
              <w:rPr>
                <w:rFonts w:ascii="Times New Roman" w:hAnsi="Times New Roman" w:cs="Times New Roman"/>
                <w:sz w:val="20"/>
                <w:szCs w:val="20"/>
                <w:lang w:eastAsia="sk-SK"/>
              </w:rPr>
              <w:t>24,6</w:t>
            </w:r>
          </w:p>
        </w:tc>
      </w:tr>
    </w:tbl>
    <w:p w:rsidR="008C5A35" w:rsidRPr="008C5A35" w:rsidRDefault="008C5A35" w:rsidP="008C5A35">
      <w:pPr>
        <w:spacing w:after="0" w:line="240" w:lineRule="auto"/>
        <w:jc w:val="both"/>
        <w:rPr>
          <w:rFonts w:ascii="Times New Roman" w:hAnsi="Times New Roman" w:cs="Times New Roman"/>
          <w:sz w:val="24"/>
          <w:szCs w:val="24"/>
        </w:rPr>
      </w:pPr>
    </w:p>
    <w:p w:rsidR="008C5A35" w:rsidRDefault="008C5A35" w:rsidP="008C5A35">
      <w:pPr>
        <w:spacing w:after="0" w:line="240" w:lineRule="auto"/>
        <w:jc w:val="both"/>
        <w:rPr>
          <w:rFonts w:ascii="Times New Roman" w:hAnsi="Times New Roman" w:cs="Times New Roman"/>
          <w:sz w:val="24"/>
          <w:szCs w:val="24"/>
        </w:rPr>
      </w:pPr>
      <w:r w:rsidRPr="008C5A35">
        <w:rPr>
          <w:rFonts w:ascii="Times New Roman" w:hAnsi="Times New Roman" w:cs="Times New Roman"/>
          <w:sz w:val="24"/>
          <w:szCs w:val="24"/>
        </w:rPr>
        <w:t xml:space="preserve">Ako vyplýva z porovnávacej tabuľky za </w:t>
      </w:r>
      <w:r w:rsidRPr="008C5A35">
        <w:rPr>
          <w:rFonts w:ascii="Times New Roman" w:hAnsi="Times New Roman" w:cs="Times New Roman"/>
          <w:b/>
          <w:sz w:val="24"/>
          <w:szCs w:val="24"/>
        </w:rPr>
        <w:t xml:space="preserve">roky 2005, 2008, 2011, 2013 a 2015 </w:t>
      </w:r>
      <w:r w:rsidRPr="008C5A35">
        <w:rPr>
          <w:rFonts w:ascii="Times New Roman" w:hAnsi="Times New Roman" w:cs="Times New Roman"/>
          <w:sz w:val="24"/>
          <w:szCs w:val="24"/>
        </w:rPr>
        <w:t xml:space="preserve">poukazovanie na porušenie ľudských práv v školskom prostredí zaznamenáva do roku 2011 pozitívny trend. V nasledujúcich rokoch skúmania je však zreteľná zhoršujúca sa situácia. O poukazovaní žiakov na prejavy porušenia ľudských práv v škole je presvedčených stále menej skúmaných učiteľov a výraznejšie vzrastá percento tých, ktorí deklarujú, že žiaci problém </w:t>
      </w:r>
      <w:r w:rsidR="00C73100">
        <w:rPr>
          <w:rFonts w:ascii="Times New Roman" w:hAnsi="Times New Roman" w:cs="Times New Roman"/>
          <w:sz w:val="24"/>
          <w:szCs w:val="24"/>
        </w:rPr>
        <w:t>skôr zakrývajú a taja</w:t>
      </w:r>
      <w:r w:rsidRPr="008C5A35">
        <w:rPr>
          <w:rFonts w:ascii="Times New Roman" w:hAnsi="Times New Roman" w:cs="Times New Roman"/>
          <w:sz w:val="24"/>
          <w:szCs w:val="24"/>
        </w:rPr>
        <w:t xml:space="preserve">. Z názorov oslovených pedagógov tak vyplýva, že žiaci základných a stredných škôl z ľahostajnosti, či zo strachu sa stále viac snažia porušenie ľudských práv v škole nevidieť, skryť či zatajiť. A hoci v názoroch oslovených za celé obdobie skúmania prevláda presvedčenie o poukazovaní na porušenia ľudských práv v škole, neustále rastú snahy žiakov skutočnosť zatajiť. </w:t>
      </w:r>
    </w:p>
    <w:p w:rsidR="00C73100" w:rsidRDefault="00C73100" w:rsidP="008C5A35">
      <w:pPr>
        <w:spacing w:after="0" w:line="240" w:lineRule="auto"/>
        <w:jc w:val="both"/>
        <w:rPr>
          <w:rFonts w:ascii="Times New Roman" w:hAnsi="Times New Roman" w:cs="Times New Roman"/>
          <w:sz w:val="24"/>
          <w:szCs w:val="24"/>
        </w:rPr>
      </w:pPr>
    </w:p>
    <w:p w:rsidR="00C73100" w:rsidRDefault="00C73100" w:rsidP="008C5A35">
      <w:pPr>
        <w:spacing w:after="0" w:line="240" w:lineRule="auto"/>
        <w:jc w:val="both"/>
        <w:rPr>
          <w:rFonts w:ascii="Times New Roman" w:hAnsi="Times New Roman" w:cs="Times New Roman"/>
          <w:sz w:val="24"/>
          <w:szCs w:val="24"/>
        </w:rPr>
      </w:pPr>
    </w:p>
    <w:p w:rsidR="00C73100" w:rsidRPr="008C5A35" w:rsidRDefault="00C73100" w:rsidP="008C5A35">
      <w:pPr>
        <w:spacing w:after="0" w:line="240" w:lineRule="auto"/>
        <w:jc w:val="both"/>
        <w:rPr>
          <w:rFonts w:ascii="Times New Roman" w:hAnsi="Times New Roman" w:cs="Times New Roman"/>
          <w:sz w:val="24"/>
          <w:szCs w:val="24"/>
        </w:rPr>
      </w:pPr>
    </w:p>
    <w:p w:rsidR="00A840D1" w:rsidRPr="00A840D1" w:rsidRDefault="00A840D1" w:rsidP="00C73100">
      <w:pPr>
        <w:shd w:val="clear" w:color="auto" w:fill="FFFFFF" w:themeFill="background1"/>
        <w:spacing w:after="120" w:line="240" w:lineRule="auto"/>
        <w:jc w:val="both"/>
        <w:rPr>
          <w:rFonts w:ascii="Times New Roman" w:hAnsi="Times New Roman" w:cs="Times New Roman"/>
          <w:i/>
          <w:sz w:val="24"/>
          <w:szCs w:val="24"/>
        </w:rPr>
      </w:pPr>
      <w:r w:rsidRPr="00A840D1">
        <w:rPr>
          <w:rFonts w:ascii="Times New Roman" w:hAnsi="Times New Roman" w:cs="Times New Roman"/>
          <w:i/>
          <w:sz w:val="24"/>
          <w:szCs w:val="24"/>
        </w:rPr>
        <w:lastRenderedPageBreak/>
        <w:t xml:space="preserve">Školské prostredie je ideálnym prostredím pre formovanie detí a mládeže k ochrane a rešpektovaniu ľudských práv. Učiteľ má možnosť pomáhať pri ich aplikácii v prostredí školy, pomáhať predchádzať všetkým formám diskriminácie, rasizmu, xenofóbie, zlepšovať vzťahy medzi ľuďmi, presadzovať prvky </w:t>
      </w:r>
      <w:proofErr w:type="spellStart"/>
      <w:r w:rsidRPr="00A840D1">
        <w:rPr>
          <w:rFonts w:ascii="Times New Roman" w:hAnsi="Times New Roman" w:cs="Times New Roman"/>
          <w:i/>
          <w:sz w:val="24"/>
          <w:szCs w:val="24"/>
        </w:rPr>
        <w:t>multikulturalizmu</w:t>
      </w:r>
      <w:proofErr w:type="spellEnd"/>
      <w:r w:rsidRPr="00A840D1">
        <w:rPr>
          <w:rFonts w:ascii="Times New Roman" w:hAnsi="Times New Roman" w:cs="Times New Roman"/>
          <w:i/>
          <w:sz w:val="24"/>
          <w:szCs w:val="24"/>
        </w:rPr>
        <w:t xml:space="preserve"> a tolerancie. Získané informácie z oblasti ľudských práv je možné využiť pri tvorbe školských vzdelávacích programov a učebných osnov jednotlivých vyučovacích predmetov, ako aj pri koncipovaní školských stratégií a pri oboznamovaní verejnosti.</w:t>
      </w:r>
    </w:p>
    <w:p w:rsidR="00A840D1" w:rsidRPr="00A840D1" w:rsidRDefault="00A840D1" w:rsidP="00C73100">
      <w:pPr>
        <w:shd w:val="clear" w:color="auto" w:fill="FFFFFF" w:themeFill="background1"/>
        <w:spacing w:after="0" w:line="240" w:lineRule="auto"/>
        <w:jc w:val="both"/>
        <w:rPr>
          <w:rFonts w:ascii="Times New Roman" w:hAnsi="Times New Roman" w:cs="Times New Roman"/>
          <w:i/>
          <w:sz w:val="24"/>
          <w:szCs w:val="24"/>
        </w:rPr>
      </w:pPr>
      <w:r w:rsidRPr="00A840D1">
        <w:rPr>
          <w:rFonts w:ascii="Times New Roman" w:hAnsi="Times New Roman" w:cs="Times New Roman"/>
          <w:i/>
          <w:sz w:val="24"/>
          <w:szCs w:val="24"/>
        </w:rPr>
        <w:t>V súvislosti s výskumnými zisteniami navrhujeme:</w:t>
      </w:r>
    </w:p>
    <w:p w:rsidR="00A840D1" w:rsidRPr="00A840D1" w:rsidRDefault="00A840D1" w:rsidP="00C73100">
      <w:pPr>
        <w:numPr>
          <w:ilvl w:val="0"/>
          <w:numId w:val="1"/>
        </w:numPr>
        <w:shd w:val="clear" w:color="auto" w:fill="FFFFFF" w:themeFill="background1"/>
        <w:spacing w:after="0" w:line="240" w:lineRule="auto"/>
        <w:jc w:val="both"/>
        <w:rPr>
          <w:rFonts w:ascii="Times New Roman" w:hAnsi="Times New Roman" w:cs="Times New Roman"/>
          <w:i/>
          <w:sz w:val="24"/>
          <w:szCs w:val="24"/>
        </w:rPr>
      </w:pPr>
      <w:r w:rsidRPr="00A840D1">
        <w:rPr>
          <w:rFonts w:ascii="Times New Roman" w:hAnsi="Times New Roman" w:cs="Times New Roman"/>
          <w:i/>
          <w:sz w:val="24"/>
          <w:szCs w:val="24"/>
        </w:rPr>
        <w:t>Prehlbovať výučbu ľudských práv a práv dieťaťa implementáciou do školských vzdelávacích programov a učebných osnov.</w:t>
      </w:r>
    </w:p>
    <w:p w:rsidR="00A840D1" w:rsidRPr="00A840D1" w:rsidRDefault="00A840D1" w:rsidP="00C73100">
      <w:pPr>
        <w:numPr>
          <w:ilvl w:val="0"/>
          <w:numId w:val="1"/>
        </w:numPr>
        <w:shd w:val="clear" w:color="auto" w:fill="FFFFFF" w:themeFill="background1"/>
        <w:spacing w:after="0" w:line="240" w:lineRule="auto"/>
        <w:jc w:val="both"/>
        <w:rPr>
          <w:rFonts w:ascii="Times New Roman" w:hAnsi="Times New Roman" w:cs="Times New Roman"/>
          <w:i/>
          <w:sz w:val="24"/>
          <w:szCs w:val="24"/>
        </w:rPr>
      </w:pPr>
      <w:r w:rsidRPr="00A840D1">
        <w:rPr>
          <w:rFonts w:ascii="Times New Roman" w:hAnsi="Times New Roman" w:cs="Times New Roman"/>
          <w:i/>
          <w:sz w:val="24"/>
          <w:szCs w:val="24"/>
        </w:rPr>
        <w:t>Posilňovať inovatívne a aktívne formy a metódy výučby ľudských práv v základných aj stredných školách.</w:t>
      </w:r>
    </w:p>
    <w:p w:rsidR="00A840D1" w:rsidRPr="00A840D1" w:rsidRDefault="00A840D1" w:rsidP="00C73100">
      <w:pPr>
        <w:numPr>
          <w:ilvl w:val="0"/>
          <w:numId w:val="1"/>
        </w:numPr>
        <w:shd w:val="clear" w:color="auto" w:fill="FFFFFF" w:themeFill="background1"/>
        <w:spacing w:after="0" w:line="240" w:lineRule="auto"/>
        <w:jc w:val="both"/>
        <w:rPr>
          <w:rFonts w:ascii="Times New Roman" w:hAnsi="Times New Roman" w:cs="Times New Roman"/>
          <w:i/>
          <w:sz w:val="24"/>
          <w:szCs w:val="24"/>
        </w:rPr>
      </w:pPr>
      <w:r w:rsidRPr="00A840D1">
        <w:rPr>
          <w:rFonts w:ascii="Times New Roman" w:hAnsi="Times New Roman" w:cs="Times New Roman"/>
          <w:i/>
          <w:sz w:val="24"/>
          <w:szCs w:val="24"/>
        </w:rPr>
        <w:t xml:space="preserve">Podporovať participáciu školy v aktivitách zameraných na ľudské práva, osobitne v Olympiáde ľudských práv a motivovať pedagógov pri príprave a zapájaní žiakov. </w:t>
      </w:r>
    </w:p>
    <w:p w:rsidR="00A840D1" w:rsidRPr="00A840D1" w:rsidRDefault="00A840D1" w:rsidP="00C73100">
      <w:pPr>
        <w:numPr>
          <w:ilvl w:val="0"/>
          <w:numId w:val="1"/>
        </w:numPr>
        <w:shd w:val="clear" w:color="auto" w:fill="FFFFFF" w:themeFill="background1"/>
        <w:spacing w:after="0" w:line="240" w:lineRule="auto"/>
        <w:jc w:val="both"/>
        <w:rPr>
          <w:rFonts w:ascii="Times New Roman" w:hAnsi="Times New Roman" w:cs="Times New Roman"/>
          <w:i/>
          <w:sz w:val="24"/>
          <w:szCs w:val="24"/>
        </w:rPr>
      </w:pPr>
      <w:r w:rsidRPr="00A840D1">
        <w:rPr>
          <w:rFonts w:ascii="Times New Roman" w:hAnsi="Times New Roman" w:cs="Times New Roman"/>
          <w:i/>
          <w:sz w:val="24"/>
          <w:szCs w:val="24"/>
        </w:rPr>
        <w:t>Formovať vedomosti, životné zručnosti a postoje v oblasti ľudských práv v celoeurópskom rozmere.</w:t>
      </w:r>
    </w:p>
    <w:p w:rsidR="00A840D1" w:rsidRPr="00A840D1" w:rsidRDefault="00A840D1" w:rsidP="00C73100">
      <w:pPr>
        <w:numPr>
          <w:ilvl w:val="0"/>
          <w:numId w:val="1"/>
        </w:numPr>
        <w:shd w:val="clear" w:color="auto" w:fill="FFFFFF" w:themeFill="background1"/>
        <w:spacing w:after="0" w:line="240" w:lineRule="auto"/>
        <w:jc w:val="both"/>
        <w:rPr>
          <w:rFonts w:ascii="Times New Roman" w:hAnsi="Times New Roman" w:cs="Times New Roman"/>
          <w:i/>
          <w:sz w:val="24"/>
          <w:szCs w:val="24"/>
        </w:rPr>
      </w:pPr>
      <w:r w:rsidRPr="00A840D1">
        <w:rPr>
          <w:rFonts w:ascii="Times New Roman" w:hAnsi="Times New Roman" w:cs="Times New Roman"/>
          <w:i/>
          <w:sz w:val="24"/>
          <w:szCs w:val="24"/>
        </w:rPr>
        <w:t xml:space="preserve">Rozvíjať pedagogické spôsobilosti, cieľavedomé činnosti orientované na riešenie </w:t>
      </w:r>
      <w:proofErr w:type="spellStart"/>
      <w:r w:rsidRPr="00A840D1">
        <w:rPr>
          <w:rFonts w:ascii="Times New Roman" w:hAnsi="Times New Roman" w:cs="Times New Roman"/>
          <w:i/>
          <w:sz w:val="24"/>
          <w:szCs w:val="24"/>
        </w:rPr>
        <w:t>ľudskoprávnych</w:t>
      </w:r>
      <w:proofErr w:type="spellEnd"/>
      <w:r w:rsidRPr="00A840D1">
        <w:rPr>
          <w:rFonts w:ascii="Times New Roman" w:hAnsi="Times New Roman" w:cs="Times New Roman"/>
          <w:i/>
          <w:sz w:val="24"/>
          <w:szCs w:val="24"/>
        </w:rPr>
        <w:t xml:space="preserve"> problémov a dosahovať tak efektívnejšie ciele.</w:t>
      </w:r>
    </w:p>
    <w:p w:rsidR="00A840D1" w:rsidRPr="00A840D1" w:rsidRDefault="00A840D1" w:rsidP="00C73100">
      <w:pPr>
        <w:numPr>
          <w:ilvl w:val="0"/>
          <w:numId w:val="1"/>
        </w:numPr>
        <w:shd w:val="clear" w:color="auto" w:fill="FFFFFF" w:themeFill="background1"/>
        <w:spacing w:after="0" w:line="240" w:lineRule="auto"/>
        <w:jc w:val="both"/>
        <w:rPr>
          <w:rFonts w:ascii="Times New Roman" w:hAnsi="Times New Roman" w:cs="Times New Roman"/>
          <w:i/>
          <w:sz w:val="24"/>
          <w:szCs w:val="24"/>
        </w:rPr>
      </w:pPr>
      <w:r w:rsidRPr="00A840D1">
        <w:rPr>
          <w:rFonts w:ascii="Times New Roman" w:hAnsi="Times New Roman" w:cs="Times New Roman"/>
          <w:i/>
          <w:sz w:val="24"/>
          <w:szCs w:val="24"/>
        </w:rPr>
        <w:t xml:space="preserve">Podporovať rozširovanie právneho vedomie nielen žiakov, ale aj učiteľov v oblasti občianskeho, rodinného a pracovného práva. </w:t>
      </w:r>
    </w:p>
    <w:p w:rsidR="000D3886" w:rsidRPr="00A840D1" w:rsidRDefault="000D3886" w:rsidP="00C73100">
      <w:pPr>
        <w:shd w:val="clear" w:color="auto" w:fill="FFFFFF" w:themeFill="background1"/>
        <w:spacing w:after="0" w:line="240" w:lineRule="auto"/>
        <w:jc w:val="both"/>
        <w:rPr>
          <w:rFonts w:ascii="Times New Roman" w:hAnsi="Times New Roman" w:cs="Times New Roman"/>
          <w:i/>
          <w:color w:val="FF0000"/>
          <w:sz w:val="24"/>
          <w:szCs w:val="24"/>
        </w:rPr>
      </w:pPr>
    </w:p>
    <w:p w:rsidR="00261B5C" w:rsidRPr="00A840D1" w:rsidRDefault="00261B5C" w:rsidP="00C73100">
      <w:pPr>
        <w:shd w:val="clear" w:color="auto" w:fill="FFFFFF" w:themeFill="background1"/>
        <w:spacing w:after="0" w:line="240" w:lineRule="auto"/>
        <w:jc w:val="both"/>
        <w:rPr>
          <w:rFonts w:ascii="Times New Roman" w:hAnsi="Times New Roman" w:cs="Times New Roman"/>
          <w:i/>
          <w:sz w:val="24"/>
          <w:szCs w:val="24"/>
        </w:rPr>
      </w:pPr>
    </w:p>
    <w:sectPr w:rsidR="00261B5C" w:rsidRPr="00A840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89" w:rsidRDefault="00B80889" w:rsidP="00803CCF">
      <w:pPr>
        <w:spacing w:after="0" w:line="240" w:lineRule="auto"/>
      </w:pPr>
      <w:r>
        <w:separator/>
      </w:r>
    </w:p>
  </w:endnote>
  <w:endnote w:type="continuationSeparator" w:id="0">
    <w:p w:rsidR="00B80889" w:rsidRDefault="00B80889" w:rsidP="0080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89" w:rsidRDefault="00B80889" w:rsidP="00803CCF">
      <w:pPr>
        <w:spacing w:after="0" w:line="240" w:lineRule="auto"/>
      </w:pPr>
      <w:r>
        <w:separator/>
      </w:r>
    </w:p>
  </w:footnote>
  <w:footnote w:type="continuationSeparator" w:id="0">
    <w:p w:rsidR="00B80889" w:rsidRDefault="00B80889" w:rsidP="00803CCF">
      <w:pPr>
        <w:spacing w:after="0" w:line="240" w:lineRule="auto"/>
      </w:pPr>
      <w:r>
        <w:continuationSeparator/>
      </w:r>
    </w:p>
  </w:footnote>
  <w:footnote w:id="1">
    <w:p w:rsidR="002163E6" w:rsidRPr="002C6F0F" w:rsidRDefault="002163E6" w:rsidP="002C6F0F">
      <w:pPr>
        <w:spacing w:after="0" w:line="240" w:lineRule="auto"/>
        <w:jc w:val="both"/>
        <w:rPr>
          <w:rFonts w:ascii="Times New Roman" w:hAnsi="Times New Roman" w:cs="Times New Roman"/>
          <w:sz w:val="20"/>
          <w:szCs w:val="20"/>
        </w:rPr>
      </w:pPr>
      <w:r w:rsidRPr="002C6F0F">
        <w:rPr>
          <w:rStyle w:val="Odkaznapoznmkupodiarou"/>
          <w:rFonts w:ascii="Times New Roman" w:hAnsi="Times New Roman" w:cs="Times New Roman"/>
          <w:sz w:val="20"/>
          <w:szCs w:val="20"/>
        </w:rPr>
        <w:footnoteRef/>
      </w:r>
      <w:r w:rsidRPr="002C6F0F">
        <w:rPr>
          <w:rFonts w:ascii="Times New Roman" w:hAnsi="Times New Roman" w:cs="Times New Roman"/>
          <w:sz w:val="20"/>
          <w:szCs w:val="20"/>
        </w:rPr>
        <w:t xml:space="preserve"> Kratochvílová, E.: Výchova mimo vyučovania – v Koncepcii rozvoja výchovy a vzdelávania SR. Vychovávateľ, máj/2001, s. 2-6.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3DE0"/>
    <w:multiLevelType w:val="hybridMultilevel"/>
    <w:tmpl w:val="0E8C5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8E"/>
    <w:rsid w:val="000A71A6"/>
    <w:rsid w:val="000D3886"/>
    <w:rsid w:val="001A0A70"/>
    <w:rsid w:val="001B0718"/>
    <w:rsid w:val="002032B6"/>
    <w:rsid w:val="002163E6"/>
    <w:rsid w:val="00261B5C"/>
    <w:rsid w:val="002C6F0F"/>
    <w:rsid w:val="00317C3E"/>
    <w:rsid w:val="00355233"/>
    <w:rsid w:val="003B77F5"/>
    <w:rsid w:val="00456B2F"/>
    <w:rsid w:val="00474881"/>
    <w:rsid w:val="004F7CBB"/>
    <w:rsid w:val="005213FF"/>
    <w:rsid w:val="0057621B"/>
    <w:rsid w:val="006028D1"/>
    <w:rsid w:val="00646294"/>
    <w:rsid w:val="006D0B8E"/>
    <w:rsid w:val="007375F7"/>
    <w:rsid w:val="00741CCA"/>
    <w:rsid w:val="00744108"/>
    <w:rsid w:val="00752F15"/>
    <w:rsid w:val="00770F06"/>
    <w:rsid w:val="007A4788"/>
    <w:rsid w:val="00803CCF"/>
    <w:rsid w:val="008048A8"/>
    <w:rsid w:val="00832B6B"/>
    <w:rsid w:val="008A46B9"/>
    <w:rsid w:val="008B31CB"/>
    <w:rsid w:val="008C5A35"/>
    <w:rsid w:val="008C6D2A"/>
    <w:rsid w:val="00923818"/>
    <w:rsid w:val="0097311C"/>
    <w:rsid w:val="009B3D10"/>
    <w:rsid w:val="009C43E3"/>
    <w:rsid w:val="00A01644"/>
    <w:rsid w:val="00A03FDC"/>
    <w:rsid w:val="00A534F0"/>
    <w:rsid w:val="00A840D1"/>
    <w:rsid w:val="00A93009"/>
    <w:rsid w:val="00AA6817"/>
    <w:rsid w:val="00AC7998"/>
    <w:rsid w:val="00B80889"/>
    <w:rsid w:val="00BA7F56"/>
    <w:rsid w:val="00C679EA"/>
    <w:rsid w:val="00C73100"/>
    <w:rsid w:val="00C9224D"/>
    <w:rsid w:val="00CC6856"/>
    <w:rsid w:val="00DB0C40"/>
    <w:rsid w:val="00E0035D"/>
    <w:rsid w:val="00E20FEF"/>
    <w:rsid w:val="00E22EB6"/>
    <w:rsid w:val="00E771AE"/>
    <w:rsid w:val="00EC76E4"/>
    <w:rsid w:val="00FE5B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qFormat/>
    <w:rsid w:val="00803CCF"/>
    <w:pPr>
      <w:keepNext/>
      <w:spacing w:after="0" w:line="240" w:lineRule="auto"/>
      <w:outlineLvl w:val="1"/>
    </w:pPr>
    <w:rPr>
      <w:rFonts w:ascii="Times New Roman" w:eastAsia="Times New Roman" w:hAnsi="Times New Roman" w:cs="Times New Roman"/>
      <w:sz w:val="24"/>
      <w:szCs w:val="20"/>
    </w:rPr>
  </w:style>
  <w:style w:type="paragraph" w:styleId="Nadpis3">
    <w:name w:val="heading 3"/>
    <w:basedOn w:val="Normlny"/>
    <w:next w:val="Normlny"/>
    <w:link w:val="Nadpis3Char"/>
    <w:qFormat/>
    <w:rsid w:val="00803CCF"/>
    <w:pPr>
      <w:keepNext/>
      <w:spacing w:after="0" w:line="240" w:lineRule="auto"/>
      <w:outlineLvl w:val="2"/>
    </w:pPr>
    <w:rPr>
      <w:rFonts w:ascii="Times New Roman" w:eastAsia="Times New Roman" w:hAnsi="Times New Roman" w:cs="Times New Roman"/>
      <w:b/>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261B5C"/>
    <w:pPr>
      <w:spacing w:after="0" w:line="240" w:lineRule="auto"/>
      <w:ind w:firstLine="708"/>
    </w:pPr>
    <w:rPr>
      <w:rFonts w:ascii="Times New Roman" w:eastAsia="Times New Roman" w:hAnsi="Times New Roman" w:cs="Times New Roman"/>
      <w:b/>
      <w:sz w:val="24"/>
      <w:szCs w:val="20"/>
    </w:rPr>
  </w:style>
  <w:style w:type="character" w:customStyle="1" w:styleId="ZarkazkladnhotextuChar">
    <w:name w:val="Zarážka základného textu Char"/>
    <w:basedOn w:val="Predvolenpsmoodseku"/>
    <w:link w:val="Zarkazkladnhotextu"/>
    <w:rsid w:val="00261B5C"/>
    <w:rPr>
      <w:rFonts w:ascii="Times New Roman" w:eastAsia="Times New Roman" w:hAnsi="Times New Roman" w:cs="Times New Roman"/>
      <w:b/>
      <w:sz w:val="24"/>
      <w:szCs w:val="20"/>
    </w:rPr>
  </w:style>
  <w:style w:type="paragraph" w:styleId="Zarkazkladnhotextu2">
    <w:name w:val="Body Text Indent 2"/>
    <w:basedOn w:val="Normlny"/>
    <w:link w:val="Zarkazkladnhotextu2Char"/>
    <w:rsid w:val="008A46B9"/>
    <w:pPr>
      <w:spacing w:after="120" w:line="480" w:lineRule="auto"/>
      <w:ind w:left="283"/>
    </w:pPr>
    <w:rPr>
      <w:rFonts w:ascii="Times New Roman" w:eastAsia="Times New Roman" w:hAnsi="Times New Roman" w:cs="Times New Roman"/>
      <w:sz w:val="20"/>
      <w:szCs w:val="20"/>
    </w:rPr>
  </w:style>
  <w:style w:type="character" w:customStyle="1" w:styleId="Zarkazkladnhotextu2Char">
    <w:name w:val="Zarážka základného textu 2 Char"/>
    <w:basedOn w:val="Predvolenpsmoodseku"/>
    <w:link w:val="Zarkazkladnhotextu2"/>
    <w:rsid w:val="008A46B9"/>
    <w:rPr>
      <w:rFonts w:ascii="Times New Roman" w:eastAsia="Times New Roman" w:hAnsi="Times New Roman" w:cs="Times New Roman"/>
      <w:sz w:val="20"/>
      <w:szCs w:val="20"/>
    </w:rPr>
  </w:style>
  <w:style w:type="paragraph" w:styleId="Zkladntext3">
    <w:name w:val="Body Text 3"/>
    <w:basedOn w:val="Normlny"/>
    <w:link w:val="Zkladntext3Char"/>
    <w:uiPriority w:val="99"/>
    <w:unhideWhenUsed/>
    <w:rsid w:val="00646294"/>
    <w:pPr>
      <w:spacing w:after="120"/>
    </w:pPr>
    <w:rPr>
      <w:sz w:val="16"/>
      <w:szCs w:val="16"/>
    </w:rPr>
  </w:style>
  <w:style w:type="character" w:customStyle="1" w:styleId="Zkladntext3Char">
    <w:name w:val="Základný text 3 Char"/>
    <w:basedOn w:val="Predvolenpsmoodseku"/>
    <w:link w:val="Zkladntext3"/>
    <w:uiPriority w:val="99"/>
    <w:rsid w:val="00646294"/>
    <w:rPr>
      <w:sz w:val="16"/>
      <w:szCs w:val="16"/>
    </w:rPr>
  </w:style>
  <w:style w:type="character" w:customStyle="1" w:styleId="Nadpis2Char">
    <w:name w:val="Nadpis 2 Char"/>
    <w:basedOn w:val="Predvolenpsmoodseku"/>
    <w:link w:val="Nadpis2"/>
    <w:rsid w:val="00803CCF"/>
    <w:rPr>
      <w:rFonts w:ascii="Times New Roman" w:eastAsia="Times New Roman" w:hAnsi="Times New Roman" w:cs="Times New Roman"/>
      <w:sz w:val="24"/>
      <w:szCs w:val="20"/>
    </w:rPr>
  </w:style>
  <w:style w:type="character" w:customStyle="1" w:styleId="Nadpis3Char">
    <w:name w:val="Nadpis 3 Char"/>
    <w:basedOn w:val="Predvolenpsmoodseku"/>
    <w:link w:val="Nadpis3"/>
    <w:rsid w:val="00803CCF"/>
    <w:rPr>
      <w:rFonts w:ascii="Times New Roman" w:eastAsia="Times New Roman" w:hAnsi="Times New Roman" w:cs="Times New Roman"/>
      <w:b/>
      <w:sz w:val="24"/>
      <w:szCs w:val="20"/>
    </w:rPr>
  </w:style>
  <w:style w:type="paragraph" w:customStyle="1" w:styleId="Normlny12">
    <w:name w:val="Normálny + 12"/>
    <w:basedOn w:val="Normlny"/>
    <w:rsid w:val="00803CCF"/>
    <w:pPr>
      <w:spacing w:after="0" w:line="240" w:lineRule="auto"/>
      <w:ind w:firstLine="708"/>
      <w:jc w:val="both"/>
    </w:pPr>
    <w:rPr>
      <w:rFonts w:ascii="Times New Roman" w:eastAsia="Times New Roman" w:hAnsi="Times New Roman" w:cs="Times New Roman"/>
      <w:bCs/>
      <w:color w:val="FF0000"/>
      <w:sz w:val="24"/>
      <w:szCs w:val="24"/>
    </w:rPr>
  </w:style>
  <w:style w:type="character" w:styleId="Odkaznapoznmkupodiarou">
    <w:name w:val="footnote reference"/>
    <w:semiHidden/>
    <w:rsid w:val="00803CCF"/>
    <w:rPr>
      <w:vertAlign w:val="superscript"/>
    </w:rPr>
  </w:style>
  <w:style w:type="paragraph" w:styleId="Popis">
    <w:name w:val="caption"/>
    <w:basedOn w:val="Normlny"/>
    <w:next w:val="Normlny"/>
    <w:qFormat/>
    <w:rsid w:val="00803CCF"/>
    <w:pPr>
      <w:spacing w:after="0" w:line="240" w:lineRule="auto"/>
    </w:pPr>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803C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03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qFormat/>
    <w:rsid w:val="00803CCF"/>
    <w:pPr>
      <w:keepNext/>
      <w:spacing w:after="0" w:line="240" w:lineRule="auto"/>
      <w:outlineLvl w:val="1"/>
    </w:pPr>
    <w:rPr>
      <w:rFonts w:ascii="Times New Roman" w:eastAsia="Times New Roman" w:hAnsi="Times New Roman" w:cs="Times New Roman"/>
      <w:sz w:val="24"/>
      <w:szCs w:val="20"/>
    </w:rPr>
  </w:style>
  <w:style w:type="paragraph" w:styleId="Nadpis3">
    <w:name w:val="heading 3"/>
    <w:basedOn w:val="Normlny"/>
    <w:next w:val="Normlny"/>
    <w:link w:val="Nadpis3Char"/>
    <w:qFormat/>
    <w:rsid w:val="00803CCF"/>
    <w:pPr>
      <w:keepNext/>
      <w:spacing w:after="0" w:line="240" w:lineRule="auto"/>
      <w:outlineLvl w:val="2"/>
    </w:pPr>
    <w:rPr>
      <w:rFonts w:ascii="Times New Roman" w:eastAsia="Times New Roman" w:hAnsi="Times New Roman" w:cs="Times New Roman"/>
      <w:b/>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261B5C"/>
    <w:pPr>
      <w:spacing w:after="0" w:line="240" w:lineRule="auto"/>
      <w:ind w:firstLine="708"/>
    </w:pPr>
    <w:rPr>
      <w:rFonts w:ascii="Times New Roman" w:eastAsia="Times New Roman" w:hAnsi="Times New Roman" w:cs="Times New Roman"/>
      <w:b/>
      <w:sz w:val="24"/>
      <w:szCs w:val="20"/>
    </w:rPr>
  </w:style>
  <w:style w:type="character" w:customStyle="1" w:styleId="ZarkazkladnhotextuChar">
    <w:name w:val="Zarážka základného textu Char"/>
    <w:basedOn w:val="Predvolenpsmoodseku"/>
    <w:link w:val="Zarkazkladnhotextu"/>
    <w:rsid w:val="00261B5C"/>
    <w:rPr>
      <w:rFonts w:ascii="Times New Roman" w:eastAsia="Times New Roman" w:hAnsi="Times New Roman" w:cs="Times New Roman"/>
      <w:b/>
      <w:sz w:val="24"/>
      <w:szCs w:val="20"/>
    </w:rPr>
  </w:style>
  <w:style w:type="paragraph" w:styleId="Zarkazkladnhotextu2">
    <w:name w:val="Body Text Indent 2"/>
    <w:basedOn w:val="Normlny"/>
    <w:link w:val="Zarkazkladnhotextu2Char"/>
    <w:rsid w:val="008A46B9"/>
    <w:pPr>
      <w:spacing w:after="120" w:line="480" w:lineRule="auto"/>
      <w:ind w:left="283"/>
    </w:pPr>
    <w:rPr>
      <w:rFonts w:ascii="Times New Roman" w:eastAsia="Times New Roman" w:hAnsi="Times New Roman" w:cs="Times New Roman"/>
      <w:sz w:val="20"/>
      <w:szCs w:val="20"/>
    </w:rPr>
  </w:style>
  <w:style w:type="character" w:customStyle="1" w:styleId="Zarkazkladnhotextu2Char">
    <w:name w:val="Zarážka základného textu 2 Char"/>
    <w:basedOn w:val="Predvolenpsmoodseku"/>
    <w:link w:val="Zarkazkladnhotextu2"/>
    <w:rsid w:val="008A46B9"/>
    <w:rPr>
      <w:rFonts w:ascii="Times New Roman" w:eastAsia="Times New Roman" w:hAnsi="Times New Roman" w:cs="Times New Roman"/>
      <w:sz w:val="20"/>
      <w:szCs w:val="20"/>
    </w:rPr>
  </w:style>
  <w:style w:type="paragraph" w:styleId="Zkladntext3">
    <w:name w:val="Body Text 3"/>
    <w:basedOn w:val="Normlny"/>
    <w:link w:val="Zkladntext3Char"/>
    <w:uiPriority w:val="99"/>
    <w:unhideWhenUsed/>
    <w:rsid w:val="00646294"/>
    <w:pPr>
      <w:spacing w:after="120"/>
    </w:pPr>
    <w:rPr>
      <w:sz w:val="16"/>
      <w:szCs w:val="16"/>
    </w:rPr>
  </w:style>
  <w:style w:type="character" w:customStyle="1" w:styleId="Zkladntext3Char">
    <w:name w:val="Základný text 3 Char"/>
    <w:basedOn w:val="Predvolenpsmoodseku"/>
    <w:link w:val="Zkladntext3"/>
    <w:uiPriority w:val="99"/>
    <w:rsid w:val="00646294"/>
    <w:rPr>
      <w:sz w:val="16"/>
      <w:szCs w:val="16"/>
    </w:rPr>
  </w:style>
  <w:style w:type="character" w:customStyle="1" w:styleId="Nadpis2Char">
    <w:name w:val="Nadpis 2 Char"/>
    <w:basedOn w:val="Predvolenpsmoodseku"/>
    <w:link w:val="Nadpis2"/>
    <w:rsid w:val="00803CCF"/>
    <w:rPr>
      <w:rFonts w:ascii="Times New Roman" w:eastAsia="Times New Roman" w:hAnsi="Times New Roman" w:cs="Times New Roman"/>
      <w:sz w:val="24"/>
      <w:szCs w:val="20"/>
    </w:rPr>
  </w:style>
  <w:style w:type="character" w:customStyle="1" w:styleId="Nadpis3Char">
    <w:name w:val="Nadpis 3 Char"/>
    <w:basedOn w:val="Predvolenpsmoodseku"/>
    <w:link w:val="Nadpis3"/>
    <w:rsid w:val="00803CCF"/>
    <w:rPr>
      <w:rFonts w:ascii="Times New Roman" w:eastAsia="Times New Roman" w:hAnsi="Times New Roman" w:cs="Times New Roman"/>
      <w:b/>
      <w:sz w:val="24"/>
      <w:szCs w:val="20"/>
    </w:rPr>
  </w:style>
  <w:style w:type="paragraph" w:customStyle="1" w:styleId="Normlny12">
    <w:name w:val="Normálny + 12"/>
    <w:basedOn w:val="Normlny"/>
    <w:rsid w:val="00803CCF"/>
    <w:pPr>
      <w:spacing w:after="0" w:line="240" w:lineRule="auto"/>
      <w:ind w:firstLine="708"/>
      <w:jc w:val="both"/>
    </w:pPr>
    <w:rPr>
      <w:rFonts w:ascii="Times New Roman" w:eastAsia="Times New Roman" w:hAnsi="Times New Roman" w:cs="Times New Roman"/>
      <w:bCs/>
      <w:color w:val="FF0000"/>
      <w:sz w:val="24"/>
      <w:szCs w:val="24"/>
    </w:rPr>
  </w:style>
  <w:style w:type="character" w:styleId="Odkaznapoznmkupodiarou">
    <w:name w:val="footnote reference"/>
    <w:semiHidden/>
    <w:rsid w:val="00803CCF"/>
    <w:rPr>
      <w:vertAlign w:val="superscript"/>
    </w:rPr>
  </w:style>
  <w:style w:type="paragraph" w:styleId="Popis">
    <w:name w:val="caption"/>
    <w:basedOn w:val="Normlny"/>
    <w:next w:val="Normlny"/>
    <w:qFormat/>
    <w:rsid w:val="00803CCF"/>
    <w:pPr>
      <w:spacing w:after="0" w:line="240" w:lineRule="auto"/>
    </w:pPr>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803C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03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3"/>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5.8061019265022148E-2"/>
          <c:y val="4.5418383582881153E-2"/>
          <c:w val="0.93369418132611637"/>
          <c:h val="0.64544375420409128"/>
        </c:manualLayout>
      </c:layout>
      <c:bar3DChart>
        <c:barDir val="col"/>
        <c:grouping val="clustered"/>
        <c:varyColors val="0"/>
        <c:ser>
          <c:idx val="0"/>
          <c:order val="0"/>
          <c:tx>
            <c:strRef>
              <c:f>Sheet1!$A$2</c:f>
              <c:strCache>
                <c:ptCount val="1"/>
              </c:strCache>
            </c:strRef>
          </c:tx>
          <c:spPr>
            <a:solidFill>
              <a:srgbClr val="3366FF"/>
            </a:solidFill>
            <a:ln w="12700">
              <a:solidFill>
                <a:srgbClr val="000000"/>
              </a:solidFill>
              <a:prstDash val="solid"/>
            </a:ln>
          </c:spPr>
          <c:invertIfNegative val="0"/>
          <c:dLbls>
            <c:dLbl>
              <c:idx val="0"/>
              <c:layout>
                <c:manualLayout>
                  <c:x val="8.4322899221615753E-3"/>
                  <c:y val="0.25804782941450533"/>
                </c:manualLayout>
              </c:layout>
              <c:tx>
                <c:rich>
                  <a:bodyPr/>
                  <a:lstStyle/>
                  <a:p>
                    <a:r>
                      <a:rPr lang="sk-SK"/>
                      <a:t>89,4%</a:t>
                    </a:r>
                  </a:p>
                </c:rich>
              </c:tx>
              <c:showLegendKey val="0"/>
              <c:showVal val="0"/>
              <c:showCatName val="0"/>
              <c:showSerName val="0"/>
              <c:showPercent val="0"/>
              <c:showBubbleSize val="0"/>
            </c:dLbl>
            <c:dLbl>
              <c:idx val="1"/>
              <c:layout>
                <c:manualLayout>
                  <c:x val="1.0266250810966831E-2"/>
                  <c:y val="0.17062905504325201"/>
                </c:manualLayout>
              </c:layout>
              <c:tx>
                <c:rich>
                  <a:bodyPr/>
                  <a:lstStyle/>
                  <a:p>
                    <a:r>
                      <a:rPr lang="sk-SK"/>
                      <a:t>56,9%</a:t>
                    </a:r>
                  </a:p>
                </c:rich>
              </c:tx>
              <c:showLegendKey val="0"/>
              <c:showVal val="0"/>
              <c:showCatName val="0"/>
              <c:showSerName val="0"/>
              <c:showPercent val="0"/>
              <c:showBubbleSize val="0"/>
            </c:dLbl>
            <c:dLbl>
              <c:idx val="2"/>
              <c:layout>
                <c:manualLayout>
                  <c:x val="1.2100385980775639E-2"/>
                  <c:y val="0.14855514716235632"/>
                </c:manualLayout>
              </c:layout>
              <c:tx>
                <c:rich>
                  <a:bodyPr/>
                  <a:lstStyle/>
                  <a:p>
                    <a:r>
                      <a:rPr lang="sk-SK"/>
                      <a:t>33,6%</a:t>
                    </a:r>
                  </a:p>
                </c:rich>
              </c:tx>
              <c:showLegendKey val="0"/>
              <c:showVal val="0"/>
              <c:showCatName val="0"/>
              <c:showSerName val="0"/>
              <c:showPercent val="0"/>
              <c:showBubbleSize val="0"/>
            </c:dLbl>
            <c:dLbl>
              <c:idx val="3"/>
              <c:layout>
                <c:manualLayout>
                  <c:x val="4.4622613400297313E-3"/>
                  <c:y val="0.19792099106584915"/>
                </c:manualLayout>
              </c:layout>
              <c:tx>
                <c:rich>
                  <a:bodyPr/>
                  <a:lstStyle/>
                  <a:p>
                    <a:r>
                      <a:rPr lang="sk-SK"/>
                      <a:t>58,6%</a:t>
                    </a:r>
                  </a:p>
                </c:rich>
              </c:tx>
              <c:showLegendKey val="0"/>
              <c:showVal val="0"/>
              <c:showCatName val="0"/>
              <c:showSerName val="0"/>
              <c:showPercent val="0"/>
              <c:showBubbleSize val="0"/>
            </c:dLbl>
            <c:dLbl>
              <c:idx val="4"/>
              <c:layout>
                <c:manualLayout>
                  <c:x val="-4.5290432736524461E-3"/>
                  <c:y val="0.12507916257174348"/>
                </c:manualLayout>
              </c:layout>
              <c:tx>
                <c:rich>
                  <a:bodyPr/>
                  <a:lstStyle/>
                  <a:p>
                    <a:r>
                      <a:rPr lang="sk-SK"/>
                      <a:t>21,7%</a:t>
                    </a:r>
                  </a:p>
                </c:rich>
              </c:tx>
              <c:showLegendKey val="0"/>
              <c:showVal val="0"/>
              <c:showCatName val="0"/>
              <c:showSerName val="0"/>
              <c:showPercent val="0"/>
              <c:showBubbleSize val="0"/>
            </c:dLbl>
            <c:spPr>
              <a:noFill/>
              <a:ln w="25399">
                <a:noFill/>
              </a:ln>
            </c:spPr>
            <c:txPr>
              <a:bodyPr/>
              <a:lstStyle/>
              <a:p>
                <a:pPr>
                  <a:defRPr sz="800" b="1" i="0" u="none" strike="noStrike" baseline="0">
                    <a:solidFill>
                      <a:srgbClr val="000000"/>
                    </a:solidFill>
                    <a:latin typeface="Calibri"/>
                    <a:ea typeface="Calibri"/>
                    <a:cs typeface="Calibri"/>
                  </a:defRPr>
                </a:pPr>
                <a:endParaRPr lang="sk-SK"/>
              </a:p>
            </c:txPr>
            <c:showLegendKey val="0"/>
            <c:showVal val="1"/>
            <c:showCatName val="0"/>
            <c:showSerName val="0"/>
            <c:showPercent val="0"/>
            <c:showBubbleSize val="0"/>
            <c:showLeaderLines val="0"/>
          </c:dLbls>
          <c:cat>
            <c:strRef>
              <c:f>Sheet1!$B$1:$F$1</c:f>
              <c:strCache>
                <c:ptCount val="5"/>
                <c:pt idx="0">
                  <c:v>vyučovacia hodina</c:v>
                </c:pt>
                <c:pt idx="1">
                  <c:v>besedy</c:v>
                </c:pt>
                <c:pt idx="2">
                  <c:v>prednášky </c:v>
                </c:pt>
                <c:pt idx="3">
                  <c:v>nástenky</c:v>
                </c:pt>
                <c:pt idx="4">
                  <c:v>súťaže</c:v>
                </c:pt>
              </c:strCache>
            </c:strRef>
          </c:cat>
          <c:val>
            <c:numRef>
              <c:f>Sheet1!$B$2:$F$2</c:f>
              <c:numCache>
                <c:formatCode>General</c:formatCode>
                <c:ptCount val="5"/>
                <c:pt idx="0">
                  <c:v>89.4</c:v>
                </c:pt>
                <c:pt idx="1">
                  <c:v>56.9</c:v>
                </c:pt>
                <c:pt idx="2">
                  <c:v>33.6</c:v>
                </c:pt>
                <c:pt idx="3">
                  <c:v>58.6</c:v>
                </c:pt>
                <c:pt idx="4">
                  <c:v>21.7</c:v>
                </c:pt>
              </c:numCache>
            </c:numRef>
          </c:val>
        </c:ser>
        <c:dLbls>
          <c:showLegendKey val="0"/>
          <c:showVal val="0"/>
          <c:showCatName val="0"/>
          <c:showSerName val="0"/>
          <c:showPercent val="0"/>
          <c:showBubbleSize val="0"/>
        </c:dLbls>
        <c:gapWidth val="150"/>
        <c:gapDepth val="0"/>
        <c:shape val="box"/>
        <c:axId val="111819392"/>
        <c:axId val="128270720"/>
        <c:axId val="0"/>
      </c:bar3DChart>
      <c:catAx>
        <c:axId val="1118193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sk-SK"/>
          </a:p>
        </c:txPr>
        <c:crossAx val="128270720"/>
        <c:crosses val="autoZero"/>
        <c:auto val="1"/>
        <c:lblAlgn val="ctr"/>
        <c:lblOffset val="100"/>
        <c:tickLblSkip val="1"/>
        <c:tickMarkSkip val="1"/>
        <c:noMultiLvlLbl val="0"/>
      </c:catAx>
      <c:valAx>
        <c:axId val="128270720"/>
        <c:scaling>
          <c:orientation val="minMax"/>
        </c:scaling>
        <c:delete val="0"/>
        <c:axPos val="l"/>
        <c:majorGridlines>
          <c:spPr>
            <a:ln w="12700">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sk-SK"/>
          </a:p>
        </c:txPr>
        <c:crossAx val="111819392"/>
        <c:crosses val="autoZero"/>
        <c:crossBetween val="between"/>
      </c:valAx>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sk-S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5"/>
      <c:rotY val="20"/>
      <c:depthPercent val="100"/>
      <c:rAngAx val="1"/>
    </c:view3D>
    <c:floor>
      <c:thickness val="0"/>
      <c:spPr>
        <a:solidFill>
          <a:srgbClr val="FFFFFF"/>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172274562584119E-2"/>
          <c:y val="4.95049504950495E-2"/>
          <c:w val="0.9434724091520863"/>
          <c:h val="0.61450423454153247"/>
        </c:manualLayout>
      </c:layout>
      <c:bar3DChart>
        <c:barDir val="col"/>
        <c:grouping val="clustered"/>
        <c:varyColors val="0"/>
        <c:ser>
          <c:idx val="0"/>
          <c:order val="0"/>
          <c:tx>
            <c:strRef>
              <c:f>Sheet1!$A$2</c:f>
              <c:strCache>
                <c:ptCount val="1"/>
              </c:strCache>
            </c:strRef>
          </c:tx>
          <c:spPr>
            <a:solidFill>
              <a:srgbClr val="99CCFF"/>
            </a:solidFill>
            <a:ln w="12700">
              <a:solidFill>
                <a:srgbClr val="000000"/>
              </a:solidFill>
              <a:prstDash val="solid"/>
            </a:ln>
          </c:spPr>
          <c:invertIfNegative val="0"/>
          <c:dLbls>
            <c:dLbl>
              <c:idx val="0"/>
              <c:layout>
                <c:manualLayout>
                  <c:x val="1.5515732553975656E-2"/>
                  <c:y val="9.3686175813556899E-2"/>
                </c:manualLayout>
              </c:layout>
              <c:tx>
                <c:rich>
                  <a:bodyPr/>
                  <a:lstStyle/>
                  <a:p>
                    <a:r>
                      <a:rPr lang="sk-SK"/>
                      <a:t>8,2%</a:t>
                    </a:r>
                  </a:p>
                </c:rich>
              </c:tx>
              <c:showLegendKey val="0"/>
              <c:showVal val="0"/>
              <c:showCatName val="0"/>
              <c:showSerName val="0"/>
              <c:showPercent val="0"/>
              <c:showBubbleSize val="0"/>
            </c:dLbl>
            <c:dLbl>
              <c:idx val="1"/>
              <c:layout>
                <c:manualLayout>
                  <c:x val="1.0724999684329333E-2"/>
                  <c:y val="9.1370699296526303E-2"/>
                </c:manualLayout>
              </c:layout>
              <c:tx>
                <c:rich>
                  <a:bodyPr/>
                  <a:lstStyle/>
                  <a:p>
                    <a:r>
                      <a:rPr lang="sk-SK"/>
                      <a:t>22,8%</a:t>
                    </a:r>
                  </a:p>
                </c:rich>
              </c:tx>
              <c:showLegendKey val="0"/>
              <c:showVal val="0"/>
              <c:showCatName val="0"/>
              <c:showSerName val="0"/>
              <c:showPercent val="0"/>
              <c:showBubbleSize val="0"/>
            </c:dLbl>
            <c:dLbl>
              <c:idx val="2"/>
              <c:layout>
                <c:manualLayout>
                  <c:x val="4.1741429885620374E-3"/>
                  <c:y val="7.92403201387505E-2"/>
                </c:manualLayout>
              </c:layout>
              <c:tx>
                <c:rich>
                  <a:bodyPr/>
                  <a:lstStyle/>
                  <a:p>
                    <a:r>
                      <a:rPr lang="sk-SK"/>
                      <a:t>43,7%</a:t>
                    </a:r>
                  </a:p>
                </c:rich>
              </c:tx>
              <c:showLegendKey val="0"/>
              <c:showVal val="0"/>
              <c:showCatName val="0"/>
              <c:showSerName val="0"/>
              <c:showPercent val="0"/>
              <c:showBubbleSize val="0"/>
            </c:dLbl>
            <c:dLbl>
              <c:idx val="3"/>
              <c:layout>
                <c:manualLayout>
                  <c:x val="4.3527613937369251E-3"/>
                  <c:y val="0.11257458587066055"/>
                </c:manualLayout>
              </c:layout>
              <c:tx>
                <c:rich>
                  <a:bodyPr/>
                  <a:lstStyle/>
                  <a:p>
                    <a:r>
                      <a:rPr lang="sk-SK"/>
                      <a:t>16,1%</a:t>
                    </a:r>
                  </a:p>
                </c:rich>
              </c:tx>
              <c:showLegendKey val="0"/>
              <c:showVal val="0"/>
              <c:showCatName val="0"/>
              <c:showSerName val="0"/>
              <c:showPercent val="0"/>
              <c:showBubbleSize val="0"/>
            </c:dLbl>
            <c:dLbl>
              <c:idx val="4"/>
              <c:layout>
                <c:manualLayout>
                  <c:x val="2.7710830695021186E-3"/>
                  <c:y val="8.8357632241789261E-2"/>
                </c:manualLayout>
              </c:layout>
              <c:tx>
                <c:rich>
                  <a:bodyPr/>
                  <a:lstStyle/>
                  <a:p>
                    <a:r>
                      <a:rPr lang="sk-SK"/>
                      <a:t>9,3%</a:t>
                    </a:r>
                  </a:p>
                </c:rich>
              </c:tx>
              <c:showLegendKey val="0"/>
              <c:showVal val="0"/>
              <c:showCatName val="0"/>
              <c:showSerName val="0"/>
              <c:showPercent val="0"/>
              <c:showBubbleSize val="0"/>
            </c:dLbl>
            <c:spPr>
              <a:noFill/>
              <a:ln w="25400">
                <a:noFill/>
              </a:ln>
            </c:spPr>
            <c:txPr>
              <a:bodyPr/>
              <a:lstStyle/>
              <a:p>
                <a:pPr>
                  <a:defRPr sz="800" b="1" i="0" u="none" strike="noStrike" baseline="0">
                    <a:solidFill>
                      <a:srgbClr val="000000"/>
                    </a:solidFill>
                    <a:latin typeface="Calibri"/>
                    <a:ea typeface="Calibri"/>
                    <a:cs typeface="Calibri"/>
                  </a:defRPr>
                </a:pPr>
                <a:endParaRPr lang="sk-SK"/>
              </a:p>
            </c:txPr>
            <c:showLegendKey val="0"/>
            <c:showVal val="1"/>
            <c:showCatName val="0"/>
            <c:showSerName val="0"/>
            <c:showPercent val="0"/>
            <c:showBubbleSize val="0"/>
            <c:showLeaderLines val="0"/>
          </c:dLbls>
          <c:cat>
            <c:strRef>
              <c:f>Sheet1!$B$1:$F$1</c:f>
              <c:strCache>
                <c:ptCount val="5"/>
                <c:pt idx="0">
                  <c:v>učebnica</c:v>
                </c:pt>
                <c:pt idx="1">
                  <c:v>príručky doplnené učebnicou</c:v>
                </c:pt>
                <c:pt idx="2">
                  <c:v>učebnica doplnená odb.materiálmi</c:v>
                </c:pt>
                <c:pt idx="3">
                  <c:v>odb.materiály a pomôcky</c:v>
                </c:pt>
                <c:pt idx="4">
                  <c:v>iná forma výučby</c:v>
                </c:pt>
              </c:strCache>
            </c:strRef>
          </c:cat>
          <c:val>
            <c:numRef>
              <c:f>Sheet1!$B$2:$F$2</c:f>
              <c:numCache>
                <c:formatCode>General</c:formatCode>
                <c:ptCount val="5"/>
                <c:pt idx="0">
                  <c:v>8.1999999999999993</c:v>
                </c:pt>
                <c:pt idx="1">
                  <c:v>22.8</c:v>
                </c:pt>
                <c:pt idx="2">
                  <c:v>43.7</c:v>
                </c:pt>
                <c:pt idx="3">
                  <c:v>16.100000000000001</c:v>
                </c:pt>
                <c:pt idx="4">
                  <c:v>9.3000000000000007</c:v>
                </c:pt>
              </c:numCache>
            </c:numRef>
          </c:val>
        </c:ser>
        <c:dLbls>
          <c:showLegendKey val="0"/>
          <c:showVal val="0"/>
          <c:showCatName val="0"/>
          <c:showSerName val="0"/>
          <c:showPercent val="0"/>
          <c:showBubbleSize val="0"/>
        </c:dLbls>
        <c:gapWidth val="100"/>
        <c:gapDepth val="0"/>
        <c:shape val="box"/>
        <c:axId val="128299392"/>
        <c:axId val="128300928"/>
        <c:axId val="0"/>
      </c:bar3DChart>
      <c:catAx>
        <c:axId val="1282993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750" b="1" i="0" u="none" strike="noStrike" baseline="0">
                <a:solidFill>
                  <a:srgbClr val="000000"/>
                </a:solidFill>
                <a:latin typeface="Calibri"/>
                <a:ea typeface="Calibri"/>
                <a:cs typeface="Calibri"/>
              </a:defRPr>
            </a:pPr>
            <a:endParaRPr lang="sk-SK"/>
          </a:p>
        </c:txPr>
        <c:crossAx val="128300928"/>
        <c:crosses val="autoZero"/>
        <c:auto val="1"/>
        <c:lblAlgn val="ctr"/>
        <c:lblOffset val="100"/>
        <c:tickLblSkip val="1"/>
        <c:tickMarkSkip val="1"/>
        <c:noMultiLvlLbl val="0"/>
      </c:catAx>
      <c:valAx>
        <c:axId val="128300928"/>
        <c:scaling>
          <c:orientation val="minMax"/>
        </c:scaling>
        <c:delete val="0"/>
        <c:axPos val="l"/>
        <c:majorGridlines>
          <c:spPr>
            <a:ln w="12700">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sk-SK"/>
          </a:p>
        </c:txPr>
        <c:crossAx val="128299392"/>
        <c:crosses val="autoZero"/>
        <c:crossBetween val="between"/>
      </c:valAx>
      <c:spPr>
        <a:noFill/>
        <a:ln w="25400">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sk-SK"/>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7"/>
      <c:rotY val="20"/>
      <c:depthPercent val="100"/>
      <c:rAngAx val="1"/>
    </c:view3D>
    <c:floor>
      <c:thickness val="0"/>
      <c:spPr>
        <a:solidFill>
          <a:srgbClr val="C0C0C0"/>
        </a:solidFill>
        <a:ln w="12700">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4.3360433604336043E-2"/>
          <c:y val="4.8309178743961352E-2"/>
          <c:w val="0.9417344173441734"/>
          <c:h val="0.61693685348155014"/>
        </c:manualLayout>
      </c:layout>
      <c:bar3DChart>
        <c:barDir val="col"/>
        <c:grouping val="clustered"/>
        <c:varyColors val="0"/>
        <c:ser>
          <c:idx val="0"/>
          <c:order val="0"/>
          <c:tx>
            <c:strRef>
              <c:f>Sheet1!$A$2</c:f>
              <c:strCache>
                <c:ptCount val="1"/>
              </c:strCache>
            </c:strRef>
          </c:tx>
          <c:spPr>
            <a:solidFill>
              <a:srgbClr val="9999FF"/>
            </a:solidFill>
            <a:ln w="12683">
              <a:solidFill>
                <a:srgbClr val="000000"/>
              </a:solidFill>
              <a:prstDash val="solid"/>
            </a:ln>
          </c:spPr>
          <c:invertIfNegative val="0"/>
          <c:dPt>
            <c:idx val="0"/>
            <c:invertIfNegative val="0"/>
            <c:bubble3D val="0"/>
            <c:spPr>
              <a:solidFill>
                <a:srgbClr val="CCCCFF"/>
              </a:solidFill>
              <a:ln w="12683">
                <a:solidFill>
                  <a:srgbClr val="000000"/>
                </a:solidFill>
                <a:prstDash val="solid"/>
              </a:ln>
            </c:spPr>
          </c:dPt>
          <c:dPt>
            <c:idx val="1"/>
            <c:invertIfNegative val="0"/>
            <c:bubble3D val="0"/>
            <c:spPr>
              <a:solidFill>
                <a:srgbClr val="99CCFF"/>
              </a:solidFill>
              <a:ln w="12683">
                <a:solidFill>
                  <a:srgbClr val="000000"/>
                </a:solidFill>
                <a:prstDash val="solid"/>
              </a:ln>
            </c:spPr>
          </c:dPt>
          <c:dLbls>
            <c:dLbl>
              <c:idx val="0"/>
              <c:layout>
                <c:manualLayout>
                  <c:x val="2.5533526018968009E-2"/>
                  <c:y val="0.10278727454956393"/>
                </c:manualLayout>
              </c:layout>
              <c:tx>
                <c:rich>
                  <a:bodyPr/>
                  <a:lstStyle/>
                  <a:p>
                    <a:r>
                      <a:rPr lang="sk-SK"/>
                      <a:t>8,1%</a:t>
                    </a:r>
                  </a:p>
                </c:rich>
              </c:tx>
              <c:showLegendKey val="0"/>
              <c:showVal val="0"/>
              <c:showCatName val="0"/>
              <c:showSerName val="0"/>
              <c:showPercent val="0"/>
              <c:showBubbleSize val="0"/>
            </c:dLbl>
            <c:dLbl>
              <c:idx val="1"/>
              <c:layout>
                <c:manualLayout>
                  <c:x val="1.4798163829274524E-2"/>
                  <c:y val="0.30902757015691751"/>
                </c:manualLayout>
              </c:layout>
              <c:tx>
                <c:rich>
                  <a:bodyPr/>
                  <a:lstStyle/>
                  <a:p>
                    <a:r>
                      <a:rPr lang="sk-SK"/>
                      <a:t>41,7%</a:t>
                    </a:r>
                  </a:p>
                </c:rich>
              </c:tx>
              <c:showLegendKey val="0"/>
              <c:showVal val="0"/>
              <c:showCatName val="0"/>
              <c:showSerName val="0"/>
              <c:showPercent val="0"/>
              <c:showBubbleSize val="0"/>
            </c:dLbl>
            <c:dLbl>
              <c:idx val="2"/>
              <c:layout>
                <c:manualLayout>
                  <c:x val="9.0536263834805741E-3"/>
                  <c:y val="0.32030481238045133"/>
                </c:manualLayout>
              </c:layout>
              <c:tx>
                <c:rich>
                  <a:bodyPr/>
                  <a:lstStyle/>
                  <a:p>
                    <a:r>
                      <a:rPr lang="sk-SK"/>
                      <a:t>45,8%</a:t>
                    </a:r>
                  </a:p>
                </c:rich>
              </c:tx>
              <c:showLegendKey val="0"/>
              <c:showVal val="0"/>
              <c:showCatName val="0"/>
              <c:showSerName val="0"/>
              <c:showPercent val="0"/>
              <c:showBubbleSize val="0"/>
            </c:dLbl>
            <c:spPr>
              <a:noFill/>
              <a:ln w="25366">
                <a:noFill/>
              </a:ln>
            </c:spPr>
            <c:txPr>
              <a:bodyPr/>
              <a:lstStyle/>
              <a:p>
                <a:pPr>
                  <a:defRPr sz="799" b="1" i="0" u="none" strike="noStrike" baseline="0">
                    <a:solidFill>
                      <a:srgbClr val="000000"/>
                    </a:solidFill>
                    <a:latin typeface="Calibri"/>
                    <a:ea typeface="Calibri"/>
                    <a:cs typeface="Calibri"/>
                  </a:defRPr>
                </a:pPr>
                <a:endParaRPr lang="sk-SK"/>
              </a:p>
            </c:txPr>
            <c:showLegendKey val="0"/>
            <c:showVal val="1"/>
            <c:showCatName val="0"/>
            <c:showSerName val="0"/>
            <c:showPercent val="0"/>
            <c:showBubbleSize val="0"/>
            <c:showLeaderLines val="0"/>
          </c:dLbls>
          <c:cat>
            <c:strRef>
              <c:f>Sheet1!$B$1:$D$1</c:f>
              <c:strCache>
                <c:ptCount val="3"/>
                <c:pt idx="0">
                  <c:v>nna prejav žiakov nie je priestor</c:v>
                </c:pt>
                <c:pt idx="1">
                  <c:v>vyučovanie formou diskusie</c:v>
                </c:pt>
                <c:pt idx="2">
                  <c:v>žiaci majú priestor vyjadriť svoj názor</c:v>
                </c:pt>
              </c:strCache>
            </c:strRef>
          </c:cat>
          <c:val>
            <c:numRef>
              <c:f>Sheet1!$B$2:$D$2</c:f>
              <c:numCache>
                <c:formatCode>General</c:formatCode>
                <c:ptCount val="3"/>
                <c:pt idx="0">
                  <c:v>8.1</c:v>
                </c:pt>
                <c:pt idx="1">
                  <c:v>41.7</c:v>
                </c:pt>
                <c:pt idx="2">
                  <c:v>45.8</c:v>
                </c:pt>
              </c:numCache>
            </c:numRef>
          </c:val>
        </c:ser>
        <c:dLbls>
          <c:showLegendKey val="0"/>
          <c:showVal val="0"/>
          <c:showCatName val="0"/>
          <c:showSerName val="0"/>
          <c:showPercent val="0"/>
          <c:showBubbleSize val="0"/>
        </c:dLbls>
        <c:gapWidth val="150"/>
        <c:gapDepth val="0"/>
        <c:shape val="cylinder"/>
        <c:axId val="120032640"/>
        <c:axId val="125568128"/>
        <c:axId val="0"/>
      </c:bar3DChart>
      <c:catAx>
        <c:axId val="120032640"/>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824" b="1" i="0" u="none" strike="noStrike" baseline="0">
                <a:solidFill>
                  <a:srgbClr val="000000"/>
                </a:solidFill>
                <a:latin typeface="Calibri"/>
                <a:ea typeface="Calibri"/>
                <a:cs typeface="Calibri"/>
              </a:defRPr>
            </a:pPr>
            <a:endParaRPr lang="sk-SK"/>
          </a:p>
        </c:txPr>
        <c:crossAx val="125568128"/>
        <c:crosses val="autoZero"/>
        <c:auto val="1"/>
        <c:lblAlgn val="ctr"/>
        <c:lblOffset val="100"/>
        <c:tickLblSkip val="1"/>
        <c:tickMarkSkip val="1"/>
        <c:noMultiLvlLbl val="0"/>
      </c:catAx>
      <c:valAx>
        <c:axId val="125568128"/>
        <c:scaling>
          <c:orientation val="minMax"/>
        </c:scaling>
        <c:delete val="0"/>
        <c:axPos val="l"/>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Calibri"/>
                <a:ea typeface="Calibri"/>
                <a:cs typeface="Calibri"/>
              </a:defRPr>
            </a:pPr>
            <a:endParaRPr lang="sk-SK"/>
          </a:p>
        </c:txPr>
        <c:crossAx val="120032640"/>
        <c:crosses val="autoZero"/>
        <c:crossBetween val="between"/>
      </c:valAx>
      <c:spPr>
        <a:noFill/>
        <a:ln w="25366">
          <a:noFill/>
        </a:ln>
      </c:spPr>
    </c:plotArea>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sk-SK"/>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4965893587994542"/>
          <c:y val="0.162303664921466"/>
          <c:w val="0.451568894952251"/>
          <c:h val="0.69109947643979064"/>
        </c:manualLayout>
      </c:layout>
      <c:pie3DChart>
        <c:varyColors val="1"/>
        <c:ser>
          <c:idx val="0"/>
          <c:order val="0"/>
          <c:tx>
            <c:strRef>
              <c:f>Sheet1!$A$2</c:f>
              <c:strCache>
                <c:ptCount val="1"/>
              </c:strCache>
            </c:strRef>
          </c:tx>
          <c:spPr>
            <a:solidFill>
              <a:srgbClr val="339966"/>
            </a:solidFill>
            <a:ln w="12700">
              <a:solidFill>
                <a:srgbClr val="000000"/>
              </a:solidFill>
              <a:prstDash val="solid"/>
            </a:ln>
          </c:spPr>
          <c:explosion val="13"/>
          <c:dPt>
            <c:idx val="0"/>
            <c:bubble3D val="0"/>
          </c:dPt>
          <c:dPt>
            <c:idx val="1"/>
            <c:bubble3D val="0"/>
            <c:spPr>
              <a:solidFill>
                <a:srgbClr val="C0C0C0"/>
              </a:solidFill>
              <a:ln w="12700">
                <a:solidFill>
                  <a:srgbClr val="000000"/>
                </a:solidFill>
                <a:prstDash val="solid"/>
              </a:ln>
            </c:spPr>
          </c:dPt>
          <c:dPt>
            <c:idx val="2"/>
            <c:bubble3D val="0"/>
            <c:spPr>
              <a:solidFill>
                <a:srgbClr val="0066CC"/>
              </a:solidFill>
              <a:ln w="12700">
                <a:solidFill>
                  <a:srgbClr val="000000"/>
                </a:solidFill>
                <a:prstDash val="solid"/>
              </a:ln>
            </c:spPr>
          </c:dPt>
          <c:dLbls>
            <c:dLbl>
              <c:idx val="0"/>
              <c:layout>
                <c:manualLayout>
                  <c:x val="-2.8870748075311091E-3"/>
                  <c:y val="-0.20546103697834603"/>
                </c:manualLayout>
              </c:layout>
              <c:tx>
                <c:rich>
                  <a:bodyPr/>
                  <a:lstStyle/>
                  <a:p>
                    <a:r>
                      <a:rPr lang="sk-SK" sz="900"/>
                      <a:t>rovnaký ako v súčasnosti; 51,7%</a:t>
                    </a:r>
                    <a:endParaRPr lang="sk-SK"/>
                  </a:p>
                </c:rich>
              </c:tx>
              <c:dLblPos val="bestFit"/>
              <c:showLegendKey val="0"/>
              <c:showVal val="0"/>
              <c:showCatName val="0"/>
              <c:showSerName val="0"/>
              <c:showPercent val="0"/>
              <c:showBubbleSize val="0"/>
            </c:dLbl>
            <c:dLbl>
              <c:idx val="1"/>
              <c:layout>
                <c:manualLayout>
                  <c:x val="8.0962989509520675E-2"/>
                  <c:y val="7.6760247900949513E-2"/>
                </c:manualLayout>
              </c:layout>
              <c:tx>
                <c:rich>
                  <a:bodyPr/>
                  <a:lstStyle/>
                  <a:p>
                    <a:r>
                      <a:rPr lang="sk-SK" sz="900"/>
                      <a:t>menší priestor; 4,2%</a:t>
                    </a:r>
                    <a:endParaRPr lang="sk-SK"/>
                  </a:p>
                </c:rich>
              </c:tx>
              <c:dLblPos val="bestFit"/>
              <c:showLegendKey val="0"/>
              <c:showVal val="0"/>
              <c:showCatName val="0"/>
              <c:showSerName val="0"/>
              <c:showPercent val="0"/>
              <c:showBubbleSize val="0"/>
            </c:dLbl>
            <c:dLbl>
              <c:idx val="2"/>
              <c:layout>
                <c:manualLayout>
                  <c:x val="1.3671184791896069E-2"/>
                  <c:y val="-0.12164140365483299"/>
                </c:manualLayout>
              </c:layout>
              <c:tx>
                <c:rich>
                  <a:bodyPr/>
                  <a:lstStyle/>
                  <a:p>
                    <a:r>
                      <a:rPr lang="sk-SK" sz="900"/>
                      <a:t>väčší priestor; 44,2%</a:t>
                    </a:r>
                    <a:endParaRPr lang="sk-SK"/>
                  </a:p>
                </c:rich>
              </c:tx>
              <c:dLblPos val="bestFit"/>
              <c:showLegendKey val="0"/>
              <c:showVal val="0"/>
              <c:showCatName val="0"/>
              <c:showSerName val="0"/>
              <c:showPercent val="0"/>
              <c:showBubbleSize val="0"/>
            </c:dLbl>
            <c:spPr>
              <a:noFill/>
              <a:ln w="25401">
                <a:noFill/>
              </a:ln>
            </c:spPr>
            <c:txPr>
              <a:bodyPr/>
              <a:lstStyle/>
              <a:p>
                <a:pPr>
                  <a:defRPr sz="900" b="1" i="0" u="none" strike="noStrike" baseline="0">
                    <a:solidFill>
                      <a:srgbClr val="000000"/>
                    </a:solidFill>
                    <a:latin typeface="Calibri"/>
                    <a:ea typeface="Calibri"/>
                    <a:cs typeface="Calibri"/>
                  </a:defRPr>
                </a:pPr>
                <a:endParaRPr lang="sk-SK"/>
              </a:p>
            </c:txPr>
            <c:showLegendKey val="0"/>
            <c:showVal val="1"/>
            <c:showCatName val="1"/>
            <c:showSerName val="0"/>
            <c:showPercent val="0"/>
            <c:showBubbleSize val="0"/>
            <c:showLeaderLines val="0"/>
          </c:dLbls>
          <c:cat>
            <c:strRef>
              <c:f>Sheet1!$B$1:$D$1</c:f>
              <c:strCache>
                <c:ptCount val="3"/>
                <c:pt idx="0">
                  <c:v>rovnaký ako v súčasnosti</c:v>
                </c:pt>
                <c:pt idx="1">
                  <c:v>menší priestor</c:v>
                </c:pt>
                <c:pt idx="2">
                  <c:v>väčší priestor</c:v>
                </c:pt>
              </c:strCache>
            </c:strRef>
          </c:cat>
          <c:val>
            <c:numRef>
              <c:f>Sheet1!$B$2:$D$2</c:f>
              <c:numCache>
                <c:formatCode>General</c:formatCode>
                <c:ptCount val="3"/>
                <c:pt idx="0">
                  <c:v>51.7</c:v>
                </c:pt>
                <c:pt idx="1">
                  <c:v>4.2</c:v>
                </c:pt>
                <c:pt idx="2">
                  <c:v>44.2</c:v>
                </c:pt>
              </c:numCache>
            </c:numRef>
          </c:val>
        </c:ser>
        <c:dLbls>
          <c:showLegendKey val="0"/>
          <c:showVal val="0"/>
          <c:showCatName val="0"/>
          <c:showSerName val="0"/>
          <c:showPercent val="0"/>
          <c:showBubbleSize val="0"/>
          <c:showLeaderLines val="0"/>
        </c:dLbls>
      </c:pie3DChart>
      <c:spPr>
        <a:solidFill>
          <a:srgbClr val="FFFFFF"/>
        </a:solidFill>
        <a:ln w="25401">
          <a:noFill/>
        </a:ln>
      </c:spPr>
    </c:plotArea>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sk-SK"/>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948579161028419E-2"/>
          <c:y val="9.0497737556561094E-3"/>
          <c:w val="0.93098782138024361"/>
          <c:h val="0.71040723981900455"/>
        </c:manualLayout>
      </c:layout>
      <c:areaChart>
        <c:grouping val="stacked"/>
        <c:varyColors val="0"/>
        <c:ser>
          <c:idx val="0"/>
          <c:order val="0"/>
          <c:tx>
            <c:strRef>
              <c:f>Sheet1!$A$2</c:f>
              <c:strCache>
                <c:ptCount val="1"/>
                <c:pt idx="0">
                  <c:v>väčší priestor</c:v>
                </c:pt>
              </c:strCache>
            </c:strRef>
          </c:tx>
          <c:spPr>
            <a:pattFill prst="pct10">
              <a:fgClr>
                <a:srgbClr xmlns:mc="http://schemas.openxmlformats.org/markup-compatibility/2006" xmlns:a14="http://schemas.microsoft.com/office/drawing/2010/main" val="3366FF" mc:Ignorable="a14" a14:legacySpreadsheetColorIndex="48"/>
              </a:fgClr>
              <a:bgClr>
                <a:srgbClr xmlns:mc="http://schemas.openxmlformats.org/markup-compatibility/2006" xmlns:a14="http://schemas.microsoft.com/office/drawing/2010/main" val="FFFFFF" mc:Ignorable="a14" a14:legacySpreadsheetColorIndex="9"/>
              </a:bgClr>
            </a:pattFill>
            <a:ln w="12734">
              <a:solidFill>
                <a:srgbClr val="000000"/>
              </a:solidFill>
              <a:prstDash val="solid"/>
            </a:ln>
          </c:spPr>
          <c:dLbls>
            <c:dLbl>
              <c:idx val="0"/>
              <c:layout>
                <c:manualLayout>
                  <c:x val="4.8223247952289494E-2"/>
                  <c:y val="1.7219389680747058E-3"/>
                </c:manualLayout>
              </c:layout>
              <c:tx>
                <c:rich>
                  <a:bodyPr/>
                  <a:lstStyle/>
                  <a:p>
                    <a:r>
                      <a:rPr lang="sk-SK"/>
                      <a:t>55,4%</a:t>
                    </a:r>
                  </a:p>
                </c:rich>
              </c:tx>
              <c:showLegendKey val="0"/>
              <c:showVal val="0"/>
              <c:showCatName val="0"/>
              <c:showSerName val="0"/>
              <c:showPercent val="0"/>
              <c:showBubbleSize val="0"/>
            </c:dLbl>
            <c:dLbl>
              <c:idx val="1"/>
              <c:tx>
                <c:rich>
                  <a:bodyPr/>
                  <a:lstStyle/>
                  <a:p>
                    <a:r>
                      <a:rPr lang="sk-SK"/>
                      <a:t>25,0%</a:t>
                    </a:r>
                  </a:p>
                </c:rich>
              </c:tx>
              <c:showLegendKey val="0"/>
              <c:showVal val="0"/>
              <c:showCatName val="0"/>
              <c:showSerName val="0"/>
              <c:showPercent val="0"/>
              <c:showBubbleSize val="0"/>
            </c:dLbl>
            <c:dLbl>
              <c:idx val="2"/>
              <c:tx>
                <c:rich>
                  <a:bodyPr/>
                  <a:lstStyle/>
                  <a:p>
                    <a:r>
                      <a:rPr lang="sk-SK"/>
                      <a:t>21,9%</a:t>
                    </a:r>
                  </a:p>
                </c:rich>
              </c:tx>
              <c:showLegendKey val="0"/>
              <c:showVal val="0"/>
              <c:showCatName val="0"/>
              <c:showSerName val="0"/>
              <c:showPercent val="0"/>
              <c:showBubbleSize val="0"/>
            </c:dLbl>
            <c:dLbl>
              <c:idx val="3"/>
              <c:layout>
                <c:manualLayout>
                  <c:x val="-2.1871540504291003E-2"/>
                  <c:y val="-1.4345186226098575E-2"/>
                </c:manualLayout>
              </c:layout>
              <c:tx>
                <c:rich>
                  <a:bodyPr/>
                  <a:lstStyle/>
                  <a:p>
                    <a:r>
                      <a:rPr lang="sk-SK"/>
                      <a:t>44,1%</a:t>
                    </a:r>
                  </a:p>
                </c:rich>
              </c:tx>
              <c:showLegendKey val="0"/>
              <c:showVal val="0"/>
              <c:showCatName val="0"/>
              <c:showSerName val="0"/>
              <c:showPercent val="0"/>
              <c:showBubbleSize val="0"/>
            </c:dLbl>
            <c:dLbl>
              <c:idx val="4"/>
              <c:tx>
                <c:rich>
                  <a:bodyPr/>
                  <a:lstStyle/>
                  <a:p>
                    <a:r>
                      <a:rPr lang="sk-SK"/>
                      <a:t>44,2%</a:t>
                    </a:r>
                  </a:p>
                </c:rich>
              </c:tx>
              <c:showLegendKey val="0"/>
              <c:showVal val="0"/>
              <c:showCatName val="0"/>
              <c:showSerName val="0"/>
              <c:showPercent val="0"/>
              <c:showBubbleSize val="0"/>
            </c:dLbl>
            <c:spPr>
              <a:noFill/>
              <a:ln w="25468">
                <a:noFill/>
              </a:ln>
            </c:spPr>
            <c:txPr>
              <a:bodyPr/>
              <a:lstStyle/>
              <a:p>
                <a:pPr>
                  <a:defRPr sz="802" b="1" i="0" u="none" strike="noStrike" baseline="0">
                    <a:solidFill>
                      <a:srgbClr val="000000"/>
                    </a:solidFill>
                    <a:latin typeface="Calibri"/>
                    <a:ea typeface="Calibri"/>
                    <a:cs typeface="Calibri"/>
                  </a:defRPr>
                </a:pPr>
                <a:endParaRPr lang="sk-SK"/>
              </a:p>
            </c:txPr>
            <c:showLegendKey val="0"/>
            <c:showVal val="1"/>
            <c:showCatName val="0"/>
            <c:showSerName val="0"/>
            <c:showPercent val="0"/>
            <c:showBubbleSize val="0"/>
            <c:showLeaderLines val="0"/>
          </c:dLbls>
          <c:cat>
            <c:numRef>
              <c:f>Sheet1!$B$1:$G$1</c:f>
              <c:numCache>
                <c:formatCode>General</c:formatCode>
                <c:ptCount val="6"/>
                <c:pt idx="0">
                  <c:v>2005</c:v>
                </c:pt>
                <c:pt idx="1">
                  <c:v>2008</c:v>
                </c:pt>
                <c:pt idx="2">
                  <c:v>2011</c:v>
                </c:pt>
                <c:pt idx="3">
                  <c:v>2013</c:v>
                </c:pt>
                <c:pt idx="4">
                  <c:v>2015</c:v>
                </c:pt>
              </c:numCache>
            </c:numRef>
          </c:cat>
          <c:val>
            <c:numRef>
              <c:f>Sheet1!$B$2:$G$2</c:f>
              <c:numCache>
                <c:formatCode>0.0</c:formatCode>
                <c:ptCount val="6"/>
                <c:pt idx="0">
                  <c:v>58.7</c:v>
                </c:pt>
                <c:pt idx="1">
                  <c:v>56.9</c:v>
                </c:pt>
                <c:pt idx="2">
                  <c:v>54.7</c:v>
                </c:pt>
                <c:pt idx="3" formatCode="General">
                  <c:v>44.1</c:v>
                </c:pt>
                <c:pt idx="4" formatCode="General">
                  <c:v>44.2</c:v>
                </c:pt>
              </c:numCache>
            </c:numRef>
          </c:val>
        </c:ser>
        <c:ser>
          <c:idx val="2"/>
          <c:order val="1"/>
          <c:tx>
            <c:strRef>
              <c:f>Sheet1!$A$3</c:f>
              <c:strCache>
                <c:ptCount val="1"/>
                <c:pt idx="0">
                  <c:v>rovnaký</c:v>
                </c:pt>
              </c:strCache>
            </c:strRef>
          </c:tx>
          <c:spPr>
            <a:solidFill>
              <a:srgbClr val="3366FF"/>
            </a:solidFill>
            <a:ln w="12734">
              <a:solidFill>
                <a:srgbClr val="000000"/>
              </a:solidFill>
              <a:prstDash val="solid"/>
            </a:ln>
          </c:spPr>
          <c:dLbls>
            <c:dLbl>
              <c:idx val="0"/>
              <c:layout>
                <c:manualLayout>
                  <c:x val="4.6870067979353086E-2"/>
                  <c:y val="-3.2854243649024697E-3"/>
                </c:manualLayout>
              </c:layout>
              <c:tx>
                <c:rich>
                  <a:bodyPr/>
                  <a:lstStyle/>
                  <a:p>
                    <a:r>
                      <a:rPr lang="sk-SK"/>
                      <a:t>40,5%</a:t>
                    </a:r>
                  </a:p>
                </c:rich>
              </c:tx>
              <c:showLegendKey val="0"/>
              <c:showVal val="0"/>
              <c:showCatName val="0"/>
              <c:showSerName val="0"/>
              <c:showPercent val="0"/>
              <c:showBubbleSize val="0"/>
            </c:dLbl>
            <c:dLbl>
              <c:idx val="1"/>
              <c:tx>
                <c:rich>
                  <a:bodyPr/>
                  <a:lstStyle/>
                  <a:p>
                    <a:r>
                      <a:rPr lang="sk-SK"/>
                      <a:t>42,1%</a:t>
                    </a:r>
                  </a:p>
                </c:rich>
              </c:tx>
              <c:showLegendKey val="0"/>
              <c:showVal val="0"/>
              <c:showCatName val="0"/>
              <c:showSerName val="0"/>
              <c:showPercent val="0"/>
              <c:showBubbleSize val="0"/>
            </c:dLbl>
            <c:dLbl>
              <c:idx val="2"/>
              <c:tx>
                <c:rich>
                  <a:bodyPr/>
                  <a:lstStyle/>
                  <a:p>
                    <a:r>
                      <a:rPr lang="sk-SK"/>
                      <a:t>43,7%</a:t>
                    </a:r>
                  </a:p>
                </c:rich>
              </c:tx>
              <c:showLegendKey val="0"/>
              <c:showVal val="0"/>
              <c:showCatName val="0"/>
              <c:showSerName val="0"/>
              <c:showPercent val="0"/>
              <c:showBubbleSize val="0"/>
            </c:dLbl>
            <c:dLbl>
              <c:idx val="3"/>
              <c:tx>
                <c:rich>
                  <a:bodyPr/>
                  <a:lstStyle/>
                  <a:p>
                    <a:r>
                      <a:rPr lang="sk-SK"/>
                      <a:t>52,1%</a:t>
                    </a:r>
                  </a:p>
                </c:rich>
              </c:tx>
              <c:showLegendKey val="0"/>
              <c:showVal val="0"/>
              <c:showCatName val="0"/>
              <c:showSerName val="0"/>
              <c:showPercent val="0"/>
              <c:showBubbleSize val="0"/>
            </c:dLbl>
            <c:dLbl>
              <c:idx val="4"/>
              <c:tx>
                <c:rich>
                  <a:bodyPr/>
                  <a:lstStyle/>
                  <a:p>
                    <a:r>
                      <a:rPr lang="sk-SK"/>
                      <a:t>51,7%</a:t>
                    </a:r>
                  </a:p>
                </c:rich>
              </c:tx>
              <c:showLegendKey val="0"/>
              <c:showVal val="0"/>
              <c:showCatName val="0"/>
              <c:showSerName val="0"/>
              <c:showPercent val="0"/>
              <c:showBubbleSize val="0"/>
            </c:dLbl>
            <c:spPr>
              <a:noFill/>
              <a:ln w="25468">
                <a:noFill/>
              </a:ln>
            </c:spPr>
            <c:txPr>
              <a:bodyPr/>
              <a:lstStyle/>
              <a:p>
                <a:pPr>
                  <a:defRPr sz="802" b="1" i="0" u="none" strike="noStrike" baseline="0">
                    <a:solidFill>
                      <a:srgbClr val="000000"/>
                    </a:solidFill>
                    <a:latin typeface="Calibri"/>
                    <a:ea typeface="Calibri"/>
                    <a:cs typeface="Calibri"/>
                  </a:defRPr>
                </a:pPr>
                <a:endParaRPr lang="sk-SK"/>
              </a:p>
            </c:txPr>
            <c:showLegendKey val="0"/>
            <c:showVal val="1"/>
            <c:showCatName val="0"/>
            <c:showSerName val="0"/>
            <c:showPercent val="0"/>
            <c:showBubbleSize val="0"/>
            <c:showLeaderLines val="0"/>
          </c:dLbls>
          <c:cat>
            <c:numRef>
              <c:f>Sheet1!$B$1:$G$1</c:f>
              <c:numCache>
                <c:formatCode>General</c:formatCode>
                <c:ptCount val="6"/>
                <c:pt idx="0">
                  <c:v>2005</c:v>
                </c:pt>
                <c:pt idx="1">
                  <c:v>2008</c:v>
                </c:pt>
                <c:pt idx="2">
                  <c:v>2011</c:v>
                </c:pt>
                <c:pt idx="3">
                  <c:v>2013</c:v>
                </c:pt>
                <c:pt idx="4">
                  <c:v>2015</c:v>
                </c:pt>
              </c:numCache>
            </c:numRef>
          </c:cat>
          <c:val>
            <c:numRef>
              <c:f>Sheet1!$B$3:$G$3</c:f>
              <c:numCache>
                <c:formatCode>General</c:formatCode>
                <c:ptCount val="6"/>
                <c:pt idx="0">
                  <c:v>40.5</c:v>
                </c:pt>
                <c:pt idx="1">
                  <c:v>42.1</c:v>
                </c:pt>
                <c:pt idx="2">
                  <c:v>43.7</c:v>
                </c:pt>
                <c:pt idx="3">
                  <c:v>52.1</c:v>
                </c:pt>
                <c:pt idx="4">
                  <c:v>51.7</c:v>
                </c:pt>
              </c:numCache>
            </c:numRef>
          </c:val>
        </c:ser>
        <c:ser>
          <c:idx val="1"/>
          <c:order val="2"/>
          <c:tx>
            <c:strRef>
              <c:f>Sheet1!$A$4</c:f>
              <c:strCache>
                <c:ptCount val="1"/>
                <c:pt idx="0">
                  <c:v>menší</c:v>
                </c:pt>
              </c:strCache>
            </c:strRef>
          </c:tx>
          <c:spPr>
            <a:solidFill>
              <a:srgbClr val="99CCFF"/>
            </a:solidFill>
            <a:ln w="12734">
              <a:solidFill>
                <a:srgbClr val="000000"/>
              </a:solidFill>
              <a:prstDash val="solid"/>
            </a:ln>
          </c:spPr>
          <c:dLbls>
            <c:dLbl>
              <c:idx val="0"/>
              <c:layout>
                <c:manualLayout>
                  <c:x val="4.9149169422314634E-2"/>
                  <c:y val="-4.8456583610766719E-2"/>
                </c:manualLayout>
              </c:layout>
              <c:tx>
                <c:rich>
                  <a:bodyPr/>
                  <a:lstStyle/>
                  <a:p>
                    <a:r>
                      <a:rPr lang="sk-SK"/>
                      <a:t>0,8%</a:t>
                    </a:r>
                  </a:p>
                </c:rich>
              </c:tx>
              <c:showLegendKey val="0"/>
              <c:showVal val="0"/>
              <c:showCatName val="0"/>
              <c:showSerName val="0"/>
              <c:showPercent val="0"/>
              <c:showBubbleSize val="0"/>
            </c:dLbl>
            <c:dLbl>
              <c:idx val="1"/>
              <c:layout>
                <c:manualLayout>
                  <c:x val="1.5860978075031579E-2"/>
                  <c:y val="-5.3573689893372564E-2"/>
                </c:manualLayout>
              </c:layout>
              <c:tx>
                <c:rich>
                  <a:bodyPr/>
                  <a:lstStyle/>
                  <a:p>
                    <a:r>
                      <a:rPr lang="sk-SK"/>
                      <a:t>1,0%</a:t>
                    </a:r>
                  </a:p>
                </c:rich>
              </c:tx>
              <c:showLegendKey val="0"/>
              <c:showVal val="0"/>
              <c:showCatName val="0"/>
              <c:showSerName val="0"/>
              <c:showPercent val="0"/>
              <c:showBubbleSize val="0"/>
            </c:dLbl>
            <c:dLbl>
              <c:idx val="2"/>
              <c:layout>
                <c:manualLayout>
                  <c:x val="8.2832062135401244E-3"/>
                  <c:y val="-5.5349792033147466E-2"/>
                </c:manualLayout>
              </c:layout>
              <c:tx>
                <c:rich>
                  <a:bodyPr/>
                  <a:lstStyle/>
                  <a:p>
                    <a:r>
                      <a:rPr lang="sk-SK"/>
                      <a:t>1,6%</a:t>
                    </a:r>
                  </a:p>
                </c:rich>
              </c:tx>
              <c:showLegendKey val="0"/>
              <c:showVal val="0"/>
              <c:showCatName val="0"/>
              <c:showSerName val="0"/>
              <c:showPercent val="0"/>
              <c:showBubbleSize val="0"/>
            </c:dLbl>
            <c:dLbl>
              <c:idx val="3"/>
              <c:layout>
                <c:manualLayout>
                  <c:x val="-1.6886079115456625E-2"/>
                  <c:y val="-6.186198118746928E-2"/>
                </c:manualLayout>
              </c:layout>
              <c:tx>
                <c:rich>
                  <a:bodyPr/>
                  <a:lstStyle/>
                  <a:p>
                    <a:r>
                      <a:rPr lang="sk-SK"/>
                      <a:t>3,8%</a:t>
                    </a:r>
                  </a:p>
                </c:rich>
              </c:tx>
              <c:showLegendKey val="0"/>
              <c:showVal val="0"/>
              <c:showCatName val="0"/>
              <c:showSerName val="0"/>
              <c:showPercent val="0"/>
              <c:showBubbleSize val="0"/>
            </c:dLbl>
            <c:dLbl>
              <c:idx val="4"/>
              <c:layout>
                <c:manualLayout>
                  <c:x val="6.65928840058922E-3"/>
                  <c:y val="-5.3404426836590968E-2"/>
                </c:manualLayout>
              </c:layout>
              <c:tx>
                <c:rich>
                  <a:bodyPr/>
                  <a:lstStyle/>
                  <a:p>
                    <a:r>
                      <a:rPr lang="sk-SK"/>
                      <a:t>4,2%</a:t>
                    </a:r>
                  </a:p>
                </c:rich>
              </c:tx>
              <c:showLegendKey val="0"/>
              <c:showVal val="0"/>
              <c:showCatName val="0"/>
              <c:showSerName val="0"/>
              <c:showPercent val="0"/>
              <c:showBubbleSize val="0"/>
            </c:dLbl>
            <c:spPr>
              <a:noFill/>
              <a:ln w="25468">
                <a:noFill/>
              </a:ln>
            </c:spPr>
            <c:txPr>
              <a:bodyPr/>
              <a:lstStyle/>
              <a:p>
                <a:pPr>
                  <a:defRPr sz="802" b="1" i="0" u="none" strike="noStrike" baseline="0">
                    <a:solidFill>
                      <a:srgbClr val="000000"/>
                    </a:solidFill>
                    <a:latin typeface="Calibri"/>
                    <a:ea typeface="Calibri"/>
                    <a:cs typeface="Calibri"/>
                  </a:defRPr>
                </a:pPr>
                <a:endParaRPr lang="sk-SK"/>
              </a:p>
            </c:txPr>
            <c:showLegendKey val="0"/>
            <c:showVal val="1"/>
            <c:showCatName val="0"/>
            <c:showSerName val="0"/>
            <c:showPercent val="0"/>
            <c:showBubbleSize val="0"/>
            <c:showLeaderLines val="0"/>
          </c:dLbls>
          <c:cat>
            <c:numRef>
              <c:f>Sheet1!$B$1:$G$1</c:f>
              <c:numCache>
                <c:formatCode>General</c:formatCode>
                <c:ptCount val="6"/>
                <c:pt idx="0">
                  <c:v>2005</c:v>
                </c:pt>
                <c:pt idx="1">
                  <c:v>2008</c:v>
                </c:pt>
                <c:pt idx="2">
                  <c:v>2011</c:v>
                </c:pt>
                <c:pt idx="3">
                  <c:v>2013</c:v>
                </c:pt>
                <c:pt idx="4">
                  <c:v>2015</c:v>
                </c:pt>
              </c:numCache>
            </c:numRef>
          </c:cat>
          <c:val>
            <c:numRef>
              <c:f>Sheet1!$B$4:$G$4</c:f>
              <c:numCache>
                <c:formatCode>0.0</c:formatCode>
                <c:ptCount val="6"/>
                <c:pt idx="0">
                  <c:v>0.8</c:v>
                </c:pt>
                <c:pt idx="1">
                  <c:v>1</c:v>
                </c:pt>
                <c:pt idx="2">
                  <c:v>1.6</c:v>
                </c:pt>
                <c:pt idx="3" formatCode="General">
                  <c:v>3.8</c:v>
                </c:pt>
                <c:pt idx="4" formatCode="General">
                  <c:v>4.2</c:v>
                </c:pt>
              </c:numCache>
            </c:numRef>
          </c:val>
        </c:ser>
        <c:dLbls>
          <c:showLegendKey val="0"/>
          <c:showVal val="1"/>
          <c:showCatName val="0"/>
          <c:showSerName val="0"/>
          <c:showPercent val="0"/>
          <c:showBubbleSize val="0"/>
        </c:dLbls>
        <c:axId val="128021248"/>
        <c:axId val="128022784"/>
      </c:areaChart>
      <c:catAx>
        <c:axId val="128021248"/>
        <c:scaling>
          <c:orientation val="minMax"/>
        </c:scaling>
        <c:delete val="0"/>
        <c:axPos val="b"/>
        <c:numFmt formatCode="General" sourceLinked="1"/>
        <c:majorTickMark val="out"/>
        <c:minorTickMark val="none"/>
        <c:tickLblPos val="nextTo"/>
        <c:spPr>
          <a:ln w="3183">
            <a:solidFill>
              <a:srgbClr val="000000"/>
            </a:solidFill>
            <a:prstDash val="solid"/>
          </a:ln>
        </c:spPr>
        <c:txPr>
          <a:bodyPr rot="0" vert="horz"/>
          <a:lstStyle/>
          <a:p>
            <a:pPr>
              <a:defRPr sz="802" b="1" i="0" u="none" strike="noStrike" baseline="0">
                <a:solidFill>
                  <a:srgbClr val="000000"/>
                </a:solidFill>
                <a:latin typeface="Arial"/>
                <a:ea typeface="Arial"/>
                <a:cs typeface="Arial"/>
              </a:defRPr>
            </a:pPr>
            <a:endParaRPr lang="sk-SK"/>
          </a:p>
        </c:txPr>
        <c:crossAx val="128022784"/>
        <c:crosses val="autoZero"/>
        <c:auto val="1"/>
        <c:lblAlgn val="ctr"/>
        <c:lblOffset val="100"/>
        <c:tickLblSkip val="1"/>
        <c:tickMarkSkip val="1"/>
        <c:noMultiLvlLbl val="0"/>
      </c:catAx>
      <c:valAx>
        <c:axId val="128022784"/>
        <c:scaling>
          <c:orientation val="minMax"/>
        </c:scaling>
        <c:delete val="1"/>
        <c:axPos val="l"/>
        <c:title>
          <c:tx>
            <c:rich>
              <a:bodyPr rot="0" vert="horz"/>
              <a:lstStyle/>
              <a:p>
                <a:pPr algn="ctr">
                  <a:defRPr sz="802" b="1" i="0" u="none" strike="noStrike" baseline="0">
                    <a:solidFill>
                      <a:srgbClr val="000000"/>
                    </a:solidFill>
                    <a:latin typeface="Arial"/>
                    <a:ea typeface="Arial"/>
                    <a:cs typeface="Arial"/>
                  </a:defRPr>
                </a:pPr>
                <a:r>
                  <a:rPr lang="sk-SK"/>
                  <a:t>%</a:t>
                </a:r>
              </a:p>
            </c:rich>
          </c:tx>
          <c:layout>
            <c:manualLayout>
              <c:xMode val="edge"/>
              <c:yMode val="edge"/>
              <c:x val="0"/>
              <c:y val="0.30769230769230771"/>
            </c:manualLayout>
          </c:layout>
          <c:overlay val="0"/>
          <c:spPr>
            <a:noFill/>
            <a:ln w="25468">
              <a:noFill/>
            </a:ln>
          </c:spPr>
        </c:title>
        <c:numFmt formatCode="0.0" sourceLinked="1"/>
        <c:majorTickMark val="out"/>
        <c:minorTickMark val="none"/>
        <c:tickLblPos val="nextTo"/>
        <c:crossAx val="128021248"/>
        <c:crosses val="autoZero"/>
        <c:crossBetween val="midCat"/>
      </c:valAx>
      <c:spPr>
        <a:solidFill>
          <a:srgbClr val="FFFFFF"/>
        </a:solidFill>
        <a:ln w="12734">
          <a:solidFill>
            <a:srgbClr val="808080"/>
          </a:solidFill>
          <a:prstDash val="solid"/>
        </a:ln>
      </c:spPr>
    </c:plotArea>
    <c:legend>
      <c:legendPos val="b"/>
      <c:layout>
        <c:manualLayout>
          <c:xMode val="edge"/>
          <c:yMode val="edge"/>
          <c:x val="0.32611637347767253"/>
          <c:y val="0.8868778280542986"/>
          <c:w val="0.34912043301759133"/>
          <c:h val="0.11764705882352942"/>
        </c:manualLayout>
      </c:layout>
      <c:overlay val="0"/>
      <c:spPr>
        <a:noFill/>
        <a:ln w="3183">
          <a:solidFill>
            <a:srgbClr val="000000"/>
          </a:solidFill>
          <a:prstDash val="solid"/>
        </a:ln>
      </c:spPr>
      <c:txPr>
        <a:bodyPr/>
        <a:lstStyle/>
        <a:p>
          <a:pPr>
            <a:defRPr sz="827" b="1" i="0" u="none" strike="noStrike" baseline="0">
              <a:solidFill>
                <a:srgbClr val="000000"/>
              </a:solidFill>
              <a:latin typeface="Calibri"/>
              <a:ea typeface="Calibri"/>
              <a:cs typeface="Calibri"/>
            </a:defRPr>
          </a:pPr>
          <a:endParaRPr lang="sk-SK"/>
        </a:p>
      </c:txPr>
    </c:legend>
    <c:plotVisOnly val="1"/>
    <c:dispBlanksAs val="zero"/>
    <c:showDLblsOverMax val="0"/>
  </c:chart>
  <c:spPr>
    <a:noFill/>
    <a:ln>
      <a:noFill/>
    </a:ln>
  </c:spPr>
  <c:txPr>
    <a:bodyPr/>
    <a:lstStyle/>
    <a:p>
      <a:pPr>
        <a:defRPr sz="802" b="1" i="0" u="none" strike="noStrike" baseline="0">
          <a:solidFill>
            <a:srgbClr val="000000"/>
          </a:solidFill>
          <a:latin typeface="Arial"/>
          <a:ea typeface="Arial"/>
          <a:cs typeface="Arial"/>
        </a:defRPr>
      </a:pPr>
      <a:endParaRPr lang="sk-S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560379918588868E-2"/>
          <c:y val="0.11111111111111112"/>
          <c:w val="0.93487109905020349"/>
          <c:h val="0.6908212560386473"/>
        </c:manualLayout>
      </c:layout>
      <c:lineChart>
        <c:grouping val="standard"/>
        <c:varyColors val="0"/>
        <c:ser>
          <c:idx val="0"/>
          <c:order val="0"/>
          <c:tx>
            <c:strRef>
              <c:f>Sheet1!$A$2</c:f>
              <c:strCache>
                <c:ptCount val="1"/>
                <c:pt idx="0">
                  <c:v>určite áno</c:v>
                </c:pt>
              </c:strCache>
            </c:strRef>
          </c:tx>
          <c:spPr>
            <a:ln w="38101">
              <a:solidFill>
                <a:srgbClr val="3366FF"/>
              </a:solidFill>
              <a:prstDash val="solid"/>
            </a:ln>
          </c:spPr>
          <c:marker>
            <c:symbol val="diamond"/>
            <c:size val="9"/>
            <c:spPr>
              <a:solidFill>
                <a:srgbClr val="000080"/>
              </a:solidFill>
              <a:ln>
                <a:solidFill>
                  <a:srgbClr val="000080"/>
                </a:solidFill>
                <a:prstDash val="solid"/>
              </a:ln>
            </c:spPr>
          </c:marker>
          <c:dLbls>
            <c:dLbl>
              <c:idx val="0"/>
              <c:layout>
                <c:manualLayout>
                  <c:x val="-5.7170110381263871E-2"/>
                  <c:y val="-9.2121388623392475E-2"/>
                </c:manualLayout>
              </c:layout>
              <c:tx>
                <c:rich>
                  <a:bodyPr/>
                  <a:lstStyle/>
                  <a:p>
                    <a:r>
                      <a:rPr lang="sk-SK"/>
                      <a:t>3,9%</a:t>
                    </a:r>
                  </a:p>
                </c:rich>
              </c:tx>
              <c:dLblPos val="r"/>
              <c:showLegendKey val="0"/>
              <c:showVal val="0"/>
              <c:showCatName val="0"/>
              <c:showSerName val="0"/>
              <c:showPercent val="0"/>
              <c:showBubbleSize val="0"/>
            </c:dLbl>
            <c:dLbl>
              <c:idx val="1"/>
              <c:layout>
                <c:manualLayout>
                  <c:x val="-3.6545976385817823E-2"/>
                  <c:y val="-6.7538949673391954E-2"/>
                </c:manualLayout>
              </c:layout>
              <c:tx>
                <c:rich>
                  <a:bodyPr/>
                  <a:lstStyle/>
                  <a:p>
                    <a:r>
                      <a:rPr lang="sk-SK"/>
                      <a:t>57,3%</a:t>
                    </a:r>
                  </a:p>
                </c:rich>
              </c:tx>
              <c:dLblPos val="r"/>
              <c:showLegendKey val="0"/>
              <c:showVal val="0"/>
              <c:showCatName val="0"/>
              <c:showSerName val="0"/>
              <c:showPercent val="0"/>
              <c:showBubbleSize val="0"/>
            </c:dLbl>
            <c:dLbl>
              <c:idx val="2"/>
              <c:layout>
                <c:manualLayout>
                  <c:x val="-1.0494433977888786E-2"/>
                  <c:y val="-6.3722701837167051E-2"/>
                </c:manualLayout>
              </c:layout>
              <c:tx>
                <c:rich>
                  <a:bodyPr/>
                  <a:lstStyle/>
                  <a:p>
                    <a:r>
                      <a:rPr lang="sk-SK"/>
                      <a:t>24,4%</a:t>
                    </a:r>
                  </a:p>
                </c:rich>
              </c:tx>
              <c:dLblPos val="r"/>
              <c:showLegendKey val="0"/>
              <c:showVal val="0"/>
              <c:showCatName val="0"/>
              <c:showSerName val="0"/>
              <c:showPercent val="0"/>
              <c:showBubbleSize val="0"/>
            </c:dLbl>
            <c:dLbl>
              <c:idx val="3"/>
              <c:layout>
                <c:manualLayout>
                  <c:x val="-4.0073653516907247E-2"/>
                  <c:y val="-9.5600081516467927E-2"/>
                </c:manualLayout>
              </c:layout>
              <c:tx>
                <c:rich>
                  <a:bodyPr/>
                  <a:lstStyle/>
                  <a:p>
                    <a:r>
                      <a:rPr lang="sk-SK"/>
                      <a:t>1,1%</a:t>
                    </a:r>
                  </a:p>
                </c:rich>
              </c:tx>
              <c:dLblPos val="r"/>
              <c:showLegendKey val="0"/>
              <c:showVal val="0"/>
              <c:showCatName val="0"/>
              <c:showSerName val="0"/>
              <c:showPercent val="0"/>
              <c:showBubbleSize val="0"/>
            </c:dLbl>
            <c:dLbl>
              <c:idx val="4"/>
              <c:layout>
                <c:manualLayout>
                  <c:x val="-2.6233780037065016E-2"/>
                  <c:y val="-8.6310603560940807E-2"/>
                </c:manualLayout>
              </c:layout>
              <c:tx>
                <c:rich>
                  <a:bodyPr/>
                  <a:lstStyle/>
                  <a:p>
                    <a:r>
                      <a:rPr lang="sk-SK"/>
                      <a:t>13,3%</a:t>
                    </a:r>
                  </a:p>
                </c:rich>
              </c:tx>
              <c:dLblPos val="r"/>
              <c:showLegendKey val="0"/>
              <c:showVal val="0"/>
              <c:showCatName val="0"/>
              <c:showSerName val="0"/>
              <c:showPercent val="0"/>
              <c:showBubbleSize val="0"/>
            </c:dLbl>
            <c:spPr>
              <a:noFill/>
              <a:ln w="25401">
                <a:noFill/>
              </a:ln>
            </c:spPr>
            <c:txPr>
              <a:bodyPr/>
              <a:lstStyle/>
              <a:p>
                <a:pPr>
                  <a:defRPr sz="800" b="1" i="0" u="none" strike="noStrike" baseline="0">
                    <a:solidFill>
                      <a:srgbClr val="000000"/>
                    </a:solidFill>
                    <a:latin typeface="Calibri"/>
                    <a:ea typeface="Calibri"/>
                    <a:cs typeface="Calibri"/>
                  </a:defRPr>
                </a:pPr>
                <a:endParaRPr lang="sk-SK"/>
              </a:p>
            </c:txPr>
            <c:showLegendKey val="0"/>
            <c:showVal val="1"/>
            <c:showCatName val="0"/>
            <c:showSerName val="0"/>
            <c:showPercent val="0"/>
            <c:showBubbleSize val="0"/>
            <c:showLeaderLines val="0"/>
          </c:dLbls>
          <c:cat>
            <c:strRef>
              <c:f>Sheet1!$B$1:$F$1</c:f>
              <c:strCache>
                <c:ptCount val="5"/>
                <c:pt idx="0">
                  <c:v>určite áno</c:v>
                </c:pt>
                <c:pt idx="1">
                  <c:v>skôr áno</c:v>
                </c:pt>
                <c:pt idx="2">
                  <c:v>skôr nie</c:v>
                </c:pt>
                <c:pt idx="3">
                  <c:v>určite nie</c:v>
                </c:pt>
                <c:pt idx="4">
                  <c:v>neviem posúdiť</c:v>
                </c:pt>
              </c:strCache>
            </c:strRef>
          </c:cat>
          <c:val>
            <c:numRef>
              <c:f>Sheet1!$B$2:$F$2</c:f>
              <c:numCache>
                <c:formatCode>General</c:formatCode>
                <c:ptCount val="5"/>
                <c:pt idx="0">
                  <c:v>3.9</c:v>
                </c:pt>
                <c:pt idx="1">
                  <c:v>57.3</c:v>
                </c:pt>
                <c:pt idx="2">
                  <c:v>24.4</c:v>
                </c:pt>
                <c:pt idx="3">
                  <c:v>1.1000000000000001</c:v>
                </c:pt>
                <c:pt idx="4">
                  <c:v>13.3</c:v>
                </c:pt>
              </c:numCache>
            </c:numRef>
          </c:val>
          <c:smooth val="1"/>
        </c:ser>
        <c:dLbls>
          <c:showLegendKey val="0"/>
          <c:showVal val="0"/>
          <c:showCatName val="0"/>
          <c:showSerName val="0"/>
          <c:showPercent val="0"/>
          <c:showBubbleSize val="0"/>
        </c:dLbls>
        <c:marker val="1"/>
        <c:smooth val="0"/>
        <c:axId val="128191104"/>
        <c:axId val="128201088"/>
      </c:lineChart>
      <c:catAx>
        <c:axId val="1281911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sk-SK"/>
          </a:p>
        </c:txPr>
        <c:crossAx val="128201088"/>
        <c:crosses val="autoZero"/>
        <c:auto val="1"/>
        <c:lblAlgn val="ctr"/>
        <c:lblOffset val="100"/>
        <c:tickLblSkip val="1"/>
        <c:tickMarkSkip val="1"/>
        <c:noMultiLvlLbl val="0"/>
      </c:catAx>
      <c:valAx>
        <c:axId val="12820108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Calibri"/>
                <a:ea typeface="Calibri"/>
                <a:cs typeface="Calibri"/>
              </a:defRPr>
            </a:pPr>
            <a:endParaRPr lang="sk-SK"/>
          </a:p>
        </c:txPr>
        <c:crossAx val="128191104"/>
        <c:crosses val="autoZero"/>
        <c:crossBetween val="between"/>
      </c:valAx>
      <c:spPr>
        <a:solidFill>
          <a:srgbClr val="FFFFFF"/>
        </a:solidFill>
        <a:ln w="25401">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sk-SK"/>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720654951243678"/>
          <c:y val="8.0474256755641377E-2"/>
          <c:w val="0.37381916329284753"/>
          <c:h val="0.75862068965517238"/>
        </c:manualLayout>
      </c:layout>
      <c:pie3DChart>
        <c:varyColors val="1"/>
        <c:ser>
          <c:idx val="0"/>
          <c:order val="0"/>
          <c:tx>
            <c:strRef>
              <c:f>Sheet1!$A$2</c:f>
              <c:strCache>
                <c:ptCount val="1"/>
                <c:pt idx="0">
                  <c:v>áno, porušil</c:v>
                </c:pt>
              </c:strCache>
            </c:strRef>
          </c:tx>
          <c:spPr>
            <a:solidFill>
              <a:srgbClr val="CCFFFF"/>
            </a:solidFill>
            <a:ln w="12700">
              <a:solidFill>
                <a:srgbClr val="000000"/>
              </a:solidFill>
              <a:prstDash val="solid"/>
            </a:ln>
          </c:spPr>
          <c:explosion val="25"/>
          <c:dPt>
            <c:idx val="0"/>
            <c:bubble3D val="0"/>
            <c:spPr>
              <a:solidFill>
                <a:srgbClr val="C0C0C0"/>
              </a:solidFill>
              <a:ln w="12700">
                <a:solidFill>
                  <a:srgbClr val="000000"/>
                </a:solidFill>
                <a:prstDash val="solid"/>
              </a:ln>
            </c:spPr>
          </c:dPt>
          <c:dPt>
            <c:idx val="1"/>
            <c:bubble3D val="0"/>
            <c:spPr>
              <a:solidFill>
                <a:srgbClr val="99CCFF"/>
              </a:solidFill>
              <a:ln w="12700">
                <a:solidFill>
                  <a:srgbClr val="000000"/>
                </a:solidFill>
                <a:prstDash val="solid"/>
              </a:ln>
            </c:spPr>
          </c:dPt>
          <c:dPt>
            <c:idx val="2"/>
            <c:bubble3D val="0"/>
            <c:spPr>
              <a:solidFill>
                <a:srgbClr val="339966"/>
              </a:solidFill>
              <a:ln w="12700">
                <a:solidFill>
                  <a:srgbClr val="000000"/>
                </a:solidFill>
                <a:prstDash val="solid"/>
              </a:ln>
            </c:spPr>
          </c:dPt>
          <c:dLbls>
            <c:dLbl>
              <c:idx val="0"/>
              <c:tx>
                <c:rich>
                  <a:bodyPr/>
                  <a:lstStyle/>
                  <a:p>
                    <a:pPr>
                      <a:defRPr sz="800" b="1" i="0" u="none" strike="noStrike" baseline="0">
                        <a:solidFill>
                          <a:srgbClr val="000000"/>
                        </a:solidFill>
                        <a:latin typeface="Arial"/>
                        <a:ea typeface="Arial"/>
                        <a:cs typeface="Arial"/>
                      </a:defRPr>
                    </a:pPr>
                    <a:r>
                      <a:rPr lang="sk-SK"/>
                      <a:t>áno, porušil; 1,7%</a:t>
                    </a:r>
                  </a:p>
                </c:rich>
              </c:tx>
              <c:spPr>
                <a:noFill/>
                <a:ln w="25399">
                  <a:noFill/>
                </a:ln>
              </c:spPr>
              <c:showLegendKey val="0"/>
              <c:showVal val="0"/>
              <c:showCatName val="0"/>
              <c:showSerName val="0"/>
              <c:showPercent val="0"/>
              <c:showBubbleSize val="0"/>
            </c:dLbl>
            <c:dLbl>
              <c:idx val="1"/>
              <c:layout>
                <c:manualLayout>
                  <c:x val="7.1846836737975553E-2"/>
                  <c:y val="-0.16991329645928271"/>
                </c:manualLayout>
              </c:layout>
              <c:tx>
                <c:rich>
                  <a:bodyPr/>
                  <a:lstStyle/>
                  <a:p>
                    <a:pPr>
                      <a:defRPr sz="800" b="1" i="0" u="none" strike="noStrike" baseline="0">
                        <a:solidFill>
                          <a:srgbClr val="000000"/>
                        </a:solidFill>
                        <a:latin typeface="Arial"/>
                        <a:ea typeface="Arial"/>
                        <a:cs typeface="Arial"/>
                      </a:defRPr>
                    </a:pPr>
                    <a:r>
                      <a:rPr lang="sk-SK"/>
                      <a:t>nie, neporušil; 79,2%</a:t>
                    </a:r>
                  </a:p>
                </c:rich>
              </c:tx>
              <c:spPr>
                <a:noFill/>
                <a:ln w="25399">
                  <a:noFill/>
                </a:ln>
              </c:spPr>
              <c:dLblPos val="bestFit"/>
              <c:showLegendKey val="0"/>
              <c:showVal val="0"/>
              <c:showCatName val="0"/>
              <c:showSerName val="0"/>
              <c:showPercent val="0"/>
              <c:showBubbleSize val="0"/>
            </c:dLbl>
            <c:dLbl>
              <c:idx val="2"/>
              <c:tx>
                <c:rich>
                  <a:bodyPr/>
                  <a:lstStyle/>
                  <a:p>
                    <a:pPr>
                      <a:defRPr sz="800" b="1" i="0" u="none" strike="noStrike" baseline="0">
                        <a:solidFill>
                          <a:srgbClr val="000000"/>
                        </a:solidFill>
                        <a:latin typeface="Arial"/>
                        <a:ea typeface="Arial"/>
                        <a:cs typeface="Arial"/>
                      </a:defRPr>
                    </a:pPr>
                    <a:r>
                      <a:rPr lang="sk-SK"/>
                      <a:t>neviem; 19,1%</a:t>
                    </a:r>
                  </a:p>
                </c:rich>
              </c:tx>
              <c:spPr>
                <a:noFill/>
                <a:ln w="25399">
                  <a:noFill/>
                </a:ln>
              </c:spPr>
              <c:showLegendKey val="0"/>
              <c:showVal val="0"/>
              <c:showCatName val="0"/>
              <c:showSerName val="0"/>
              <c:showPercent val="0"/>
              <c:showBubbleSize val="0"/>
            </c:dLbl>
            <c:showLegendKey val="0"/>
            <c:showVal val="0"/>
            <c:showCatName val="0"/>
            <c:showSerName val="0"/>
            <c:showPercent val="0"/>
            <c:showBubbleSize val="0"/>
          </c:dLbls>
          <c:cat>
            <c:strRef>
              <c:f>Sheet1!$B$1:$D$1</c:f>
              <c:strCache>
                <c:ptCount val="3"/>
                <c:pt idx="0">
                  <c:v>áno, porušil</c:v>
                </c:pt>
                <c:pt idx="1">
                  <c:v>nie, neporušil</c:v>
                </c:pt>
                <c:pt idx="2">
                  <c:v>neviem</c:v>
                </c:pt>
              </c:strCache>
            </c:strRef>
          </c:cat>
          <c:val>
            <c:numRef>
              <c:f>Sheet1!$B$2:$D$2</c:f>
              <c:numCache>
                <c:formatCode>General</c:formatCode>
                <c:ptCount val="3"/>
                <c:pt idx="0">
                  <c:v>1.7</c:v>
                </c:pt>
                <c:pt idx="1">
                  <c:v>79.3</c:v>
                </c:pt>
                <c:pt idx="2">
                  <c:v>19.100000000000001</c:v>
                </c:pt>
              </c:numCache>
            </c:numRef>
          </c:val>
        </c:ser>
        <c:dLbls>
          <c:showLegendKey val="0"/>
          <c:showVal val="0"/>
          <c:showCatName val="0"/>
          <c:showSerName val="0"/>
          <c:showPercent val="0"/>
          <c:showBubbleSize val="0"/>
          <c:showLeaderLines val="1"/>
        </c:dLbls>
      </c:pie3DChart>
      <c:spPr>
        <a:solidFill>
          <a:srgbClr val="FFFFFF"/>
        </a:solidFill>
        <a:ln w="25399">
          <a:noFill/>
        </a:ln>
      </c:spPr>
    </c:plotArea>
    <c:plotVisOnly val="1"/>
    <c:dispBlanksAs val="zero"/>
    <c:showDLblsOverMax val="0"/>
  </c:chart>
  <c:spPr>
    <a:noFill/>
    <a:ln>
      <a:noFill/>
    </a:ln>
  </c:spPr>
  <c:txPr>
    <a:bodyPr/>
    <a:lstStyle/>
    <a:p>
      <a:pPr>
        <a:defRPr sz="500" b="1" i="0" u="none" strike="noStrike" baseline="0">
          <a:solidFill>
            <a:srgbClr val="000000"/>
          </a:solidFill>
          <a:latin typeface="Calibri"/>
          <a:ea typeface="Calibri"/>
          <a:cs typeface="Calibri"/>
        </a:defRPr>
      </a:pPr>
      <a:endParaRPr lang="sk-SK"/>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4081632653061225"/>
          <c:y val="0.1871345029239766"/>
          <c:w val="0.40272108843537419"/>
          <c:h val="0.68421052631578949"/>
        </c:manualLayout>
      </c:layout>
      <c:pie3DChart>
        <c:varyColors val="1"/>
        <c:ser>
          <c:idx val="0"/>
          <c:order val="0"/>
          <c:tx>
            <c:strRef>
              <c:f>Sheet1!$A$2</c:f>
              <c:strCache>
                <c:ptCount val="1"/>
                <c:pt idx="0">
                  <c:v>áno, porušili moje práva</c:v>
                </c:pt>
              </c:strCache>
            </c:strRef>
          </c:tx>
          <c:spPr>
            <a:solidFill>
              <a:srgbClr val="CCCCFF"/>
            </a:solidFill>
            <a:ln w="12700">
              <a:solidFill>
                <a:srgbClr val="000000"/>
              </a:solidFill>
              <a:prstDash val="solid"/>
            </a:ln>
          </c:spPr>
          <c:explosion val="25"/>
          <c:dPt>
            <c:idx val="0"/>
            <c:bubble3D val="0"/>
            <c:spPr>
              <a:solidFill>
                <a:srgbClr val="CCFFCC"/>
              </a:solidFill>
              <a:ln w="12700">
                <a:solidFill>
                  <a:srgbClr val="000000"/>
                </a:solidFill>
                <a:prstDash val="solid"/>
              </a:ln>
            </c:spPr>
          </c:dPt>
          <c:dPt>
            <c:idx val="1"/>
            <c:bubble3D val="0"/>
            <c:spPr>
              <a:solidFill>
                <a:srgbClr val="339966"/>
              </a:solidFill>
              <a:ln w="12700">
                <a:solidFill>
                  <a:srgbClr val="000000"/>
                </a:solidFill>
                <a:prstDash val="solid"/>
              </a:ln>
            </c:spPr>
          </c:dPt>
          <c:dPt>
            <c:idx val="2"/>
            <c:bubble3D val="0"/>
            <c:spPr>
              <a:solidFill>
                <a:srgbClr val="3366FF"/>
              </a:solidFill>
              <a:ln w="12700">
                <a:solidFill>
                  <a:srgbClr val="000000"/>
                </a:solidFill>
                <a:prstDash val="solid"/>
              </a:ln>
            </c:spPr>
          </c:dPt>
          <c:dLbls>
            <c:dLbl>
              <c:idx val="0"/>
              <c:tx>
                <c:rich>
                  <a:bodyPr/>
                  <a:lstStyle/>
                  <a:p>
                    <a:r>
                      <a:rPr lang="sk-SK"/>
                      <a:t>áno, porušili moje práva; 10,0%</a:t>
                    </a:r>
                  </a:p>
                </c:rich>
              </c:tx>
              <c:showLegendKey val="0"/>
              <c:showVal val="0"/>
              <c:showCatName val="0"/>
              <c:showSerName val="0"/>
              <c:showPercent val="0"/>
              <c:showBubbleSize val="0"/>
            </c:dLbl>
            <c:dLbl>
              <c:idx val="1"/>
              <c:tx>
                <c:rich>
                  <a:bodyPr/>
                  <a:lstStyle/>
                  <a:p>
                    <a:r>
                      <a:rPr lang="sk-SK"/>
                      <a:t>nie, neporušili moje práva; 67,5%</a:t>
                    </a:r>
                  </a:p>
                </c:rich>
              </c:tx>
              <c:showLegendKey val="0"/>
              <c:showVal val="0"/>
              <c:showCatName val="0"/>
              <c:showSerName val="0"/>
              <c:showPercent val="0"/>
              <c:showBubbleSize val="0"/>
            </c:dLbl>
            <c:dLbl>
              <c:idx val="2"/>
              <c:tx>
                <c:rich>
                  <a:bodyPr/>
                  <a:lstStyle/>
                  <a:p>
                    <a:r>
                      <a:rPr lang="sk-SK"/>
                      <a:t>neviem; 22,5%</a:t>
                    </a:r>
                  </a:p>
                </c:rich>
              </c:tx>
              <c:showLegendKey val="0"/>
              <c:showVal val="0"/>
              <c:showCatName val="0"/>
              <c:showSerName val="0"/>
              <c:showPercent val="0"/>
              <c:showBubbleSize val="0"/>
            </c:dLbl>
            <c:spPr>
              <a:noFill/>
              <a:ln w="25401">
                <a:noFill/>
              </a:ln>
            </c:spPr>
            <c:txPr>
              <a:bodyPr/>
              <a:lstStyle/>
              <a:p>
                <a:pPr>
                  <a:defRPr sz="800" b="1" i="0" u="none" strike="noStrike" baseline="0">
                    <a:solidFill>
                      <a:srgbClr val="000000"/>
                    </a:solidFill>
                    <a:latin typeface="Calibri"/>
                    <a:ea typeface="Calibri"/>
                    <a:cs typeface="Calibri"/>
                  </a:defRPr>
                </a:pPr>
                <a:endParaRPr lang="sk-SK"/>
              </a:p>
            </c:txPr>
            <c:showLegendKey val="0"/>
            <c:showVal val="1"/>
            <c:showCatName val="1"/>
            <c:showSerName val="0"/>
            <c:showPercent val="0"/>
            <c:showBubbleSize val="0"/>
            <c:showLeaderLines val="1"/>
          </c:dLbls>
          <c:cat>
            <c:strRef>
              <c:f>Sheet1!$B$1:$D$1</c:f>
              <c:strCache>
                <c:ptCount val="3"/>
                <c:pt idx="0">
                  <c:v>áno, porušili moje práva</c:v>
                </c:pt>
                <c:pt idx="1">
                  <c:v>nie, neporušili moje práva</c:v>
                </c:pt>
                <c:pt idx="2">
                  <c:v>neviem</c:v>
                </c:pt>
              </c:strCache>
            </c:strRef>
          </c:cat>
          <c:val>
            <c:numRef>
              <c:f>Sheet1!$B$2:$D$2</c:f>
              <c:numCache>
                <c:formatCode>General</c:formatCode>
                <c:ptCount val="3"/>
                <c:pt idx="0">
                  <c:v>10</c:v>
                </c:pt>
                <c:pt idx="1">
                  <c:v>67.5</c:v>
                </c:pt>
                <c:pt idx="2">
                  <c:v>22.5</c:v>
                </c:pt>
              </c:numCache>
            </c:numRef>
          </c:val>
        </c:ser>
        <c:dLbls>
          <c:showLegendKey val="0"/>
          <c:showVal val="0"/>
          <c:showCatName val="0"/>
          <c:showSerName val="0"/>
          <c:showPercent val="0"/>
          <c:showBubbleSize val="0"/>
          <c:showLeaderLines val="1"/>
        </c:dLbls>
      </c:pie3DChart>
      <c:spPr>
        <a:solidFill>
          <a:srgbClr val="FFFFFF"/>
        </a:solidFill>
        <a:ln w="25401">
          <a:noFill/>
        </a:ln>
      </c:spPr>
    </c:plotArea>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sk-SK"/>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24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22655770824699545"/>
          <c:y val="4.8393950756155475E-3"/>
          <c:w val="0.74779541446208109"/>
          <c:h val="0.73415325296727285"/>
        </c:manualLayout>
      </c:layout>
      <c:bar3DChart>
        <c:barDir val="bar"/>
        <c:grouping val="clustered"/>
        <c:varyColors val="0"/>
        <c:ser>
          <c:idx val="0"/>
          <c:order val="0"/>
          <c:spPr>
            <a:solidFill>
              <a:schemeClr val="tx2">
                <a:lumMod val="40000"/>
                <a:lumOff val="60000"/>
              </a:schemeClr>
            </a:solidFill>
            <a:ln w="9289">
              <a:solidFill>
                <a:srgbClr val="000000"/>
              </a:solidFill>
              <a:prstDash val="solid"/>
            </a:ln>
          </c:spPr>
          <c:invertIfNegative val="0"/>
          <c:dLbls>
            <c:dLbl>
              <c:idx val="0"/>
              <c:layout>
                <c:manualLayout>
                  <c:x val="1.5963351115763996E-5"/>
                  <c:y val="-9.0052938297966994E-3"/>
                </c:manualLayout>
              </c:layout>
              <c:tx>
                <c:rich>
                  <a:bodyPr/>
                  <a:lstStyle/>
                  <a:p>
                    <a:r>
                      <a:rPr lang="sk-SK" sz="658" b="1">
                        <a:latin typeface="Calibri" panose="020F0502020204030204" pitchFamily="34" charset="0"/>
                      </a:rPr>
                      <a:t>15,3%</a:t>
                    </a:r>
                    <a:endParaRPr lang="sk-SK"/>
                  </a:p>
                </c:rich>
              </c:tx>
              <c:showLegendKey val="0"/>
              <c:showVal val="0"/>
              <c:showCatName val="0"/>
              <c:showSerName val="0"/>
              <c:showPercent val="0"/>
              <c:showBubbleSize val="0"/>
            </c:dLbl>
            <c:dLbl>
              <c:idx val="1"/>
              <c:layout>
                <c:manualLayout>
                  <c:x val="4.7574498732212928E-4"/>
                  <c:y val="-1.3864495751590373E-2"/>
                </c:manualLayout>
              </c:layout>
              <c:tx>
                <c:rich>
                  <a:bodyPr/>
                  <a:lstStyle/>
                  <a:p>
                    <a:r>
                      <a:rPr lang="sk-SK" sz="658" b="1">
                        <a:latin typeface="Calibri" panose="020F0502020204030204" pitchFamily="34" charset="0"/>
                      </a:rPr>
                      <a:t>32,2%</a:t>
                    </a:r>
                    <a:endParaRPr lang="sk-SK"/>
                  </a:p>
                </c:rich>
              </c:tx>
              <c:showLegendKey val="0"/>
              <c:showVal val="0"/>
              <c:showCatName val="0"/>
              <c:showSerName val="0"/>
              <c:showPercent val="0"/>
              <c:showBubbleSize val="0"/>
            </c:dLbl>
            <c:dLbl>
              <c:idx val="2"/>
              <c:layout>
                <c:manualLayout>
                  <c:x val="9.1800406137351638E-3"/>
                  <c:y val="-1.4451265625695093E-2"/>
                </c:manualLayout>
              </c:layout>
              <c:tx>
                <c:rich>
                  <a:bodyPr/>
                  <a:lstStyle/>
                  <a:p>
                    <a:r>
                      <a:rPr lang="sk-SK" sz="658" b="1">
                        <a:latin typeface="Calibri" panose="020F0502020204030204" pitchFamily="34" charset="0"/>
                      </a:rPr>
                      <a:t>25,1%</a:t>
                    </a:r>
                    <a:endParaRPr lang="sk-SK"/>
                  </a:p>
                </c:rich>
              </c:tx>
              <c:showLegendKey val="0"/>
              <c:showVal val="0"/>
              <c:showCatName val="0"/>
              <c:showSerName val="0"/>
              <c:showPercent val="0"/>
              <c:showBubbleSize val="0"/>
            </c:dLbl>
            <c:dLbl>
              <c:idx val="3"/>
              <c:layout>
                <c:manualLayout>
                  <c:x val="1.4136846755542127E-3"/>
                  <c:y val="-1.1869300235775614E-2"/>
                </c:manualLayout>
              </c:layout>
              <c:tx>
                <c:rich>
                  <a:bodyPr/>
                  <a:lstStyle/>
                  <a:p>
                    <a:r>
                      <a:rPr lang="sk-SK" sz="658" b="1">
                        <a:latin typeface="Calibri" panose="020F0502020204030204" pitchFamily="34" charset="0"/>
                      </a:rPr>
                      <a:t>2,8%</a:t>
                    </a:r>
                    <a:endParaRPr lang="sk-SK"/>
                  </a:p>
                </c:rich>
              </c:tx>
              <c:showLegendKey val="0"/>
              <c:showVal val="0"/>
              <c:showCatName val="0"/>
              <c:showSerName val="0"/>
              <c:showPercent val="0"/>
              <c:showBubbleSize val="0"/>
            </c:dLbl>
            <c:dLbl>
              <c:idx val="4"/>
              <c:layout>
                <c:manualLayout>
                  <c:x val="1.1853901925625633E-2"/>
                  <c:y val="-1.4040660171715824E-2"/>
                </c:manualLayout>
              </c:layout>
              <c:tx>
                <c:rich>
                  <a:bodyPr/>
                  <a:lstStyle/>
                  <a:p>
                    <a:r>
                      <a:rPr lang="sk-SK" sz="658" b="1">
                        <a:latin typeface="Calibri" panose="020F0502020204030204" pitchFamily="34" charset="0"/>
                      </a:rPr>
                      <a:t>24,6%</a:t>
                    </a:r>
                    <a:endParaRPr lang="sk-SK"/>
                  </a:p>
                </c:rich>
              </c:tx>
              <c:showLegendKey val="0"/>
              <c:showVal val="0"/>
              <c:showCatName val="0"/>
              <c:showSerName val="0"/>
              <c:showPercent val="0"/>
              <c:showBubbleSize val="0"/>
            </c:dLbl>
            <c:spPr>
              <a:noFill/>
              <a:ln w="18578">
                <a:noFill/>
              </a:ln>
            </c:spPr>
            <c:txPr>
              <a:bodyPr/>
              <a:lstStyle/>
              <a:p>
                <a:pPr>
                  <a:defRPr sz="658" b="1" i="0" u="none" strike="noStrike" baseline="0">
                    <a:solidFill>
                      <a:srgbClr val="000000"/>
                    </a:solidFill>
                    <a:latin typeface="Calibri" panose="020F0502020204030204" pitchFamily="34" charset="0"/>
                    <a:ea typeface="Arial"/>
                    <a:cs typeface="Arial"/>
                  </a:defRPr>
                </a:pPr>
                <a:endParaRPr lang="sk-SK"/>
              </a:p>
            </c:txPr>
            <c:showLegendKey val="0"/>
            <c:showVal val="1"/>
            <c:showCatName val="0"/>
            <c:showSerName val="0"/>
            <c:showPercent val="0"/>
            <c:showBubbleSize val="0"/>
            <c:showLeaderLines val="0"/>
          </c:dLbls>
          <c:cat>
            <c:strRef>
              <c:f>Hárok1!$A$1:$A$5</c:f>
              <c:strCache>
                <c:ptCount val="5"/>
                <c:pt idx="0">
                  <c:v>poukazujú</c:v>
                </c:pt>
                <c:pt idx="1">
                  <c:v>skôr poukazujú ako taja</c:v>
                </c:pt>
                <c:pt idx="2">
                  <c:v>skôr taja ako poukazujú</c:v>
                </c:pt>
                <c:pt idx="3">
                  <c:v>taja</c:v>
                </c:pt>
                <c:pt idx="4">
                  <c:v>neviem posúdiť</c:v>
                </c:pt>
              </c:strCache>
            </c:strRef>
          </c:cat>
          <c:val>
            <c:numRef>
              <c:f>Hárok1!$B$1:$B$5</c:f>
              <c:numCache>
                <c:formatCode>0.0</c:formatCode>
                <c:ptCount val="5"/>
                <c:pt idx="0">
                  <c:v>15.3</c:v>
                </c:pt>
                <c:pt idx="1">
                  <c:v>32.200000000000003</c:v>
                </c:pt>
                <c:pt idx="2">
                  <c:v>25.1</c:v>
                </c:pt>
                <c:pt idx="3">
                  <c:v>2.8</c:v>
                </c:pt>
                <c:pt idx="4">
                  <c:v>24.6</c:v>
                </c:pt>
              </c:numCache>
            </c:numRef>
          </c:val>
        </c:ser>
        <c:dLbls>
          <c:showLegendKey val="0"/>
          <c:showVal val="0"/>
          <c:showCatName val="0"/>
          <c:showSerName val="0"/>
          <c:showPercent val="0"/>
          <c:showBubbleSize val="0"/>
        </c:dLbls>
        <c:gapWidth val="110"/>
        <c:gapDepth val="55"/>
        <c:shape val="box"/>
        <c:axId val="147943424"/>
        <c:axId val="147944960"/>
        <c:axId val="0"/>
      </c:bar3DChart>
      <c:catAx>
        <c:axId val="147943424"/>
        <c:scaling>
          <c:orientation val="minMax"/>
        </c:scaling>
        <c:delete val="0"/>
        <c:axPos val="l"/>
        <c:numFmt formatCode="General" sourceLinked="1"/>
        <c:majorTickMark val="out"/>
        <c:minorTickMark val="none"/>
        <c:tickLblPos val="low"/>
        <c:spPr>
          <a:ln w="2322">
            <a:solidFill>
              <a:srgbClr val="000000"/>
            </a:solidFill>
            <a:prstDash val="solid"/>
          </a:ln>
        </c:spPr>
        <c:txPr>
          <a:bodyPr rot="0" vert="horz"/>
          <a:lstStyle/>
          <a:p>
            <a:pPr>
              <a:defRPr sz="800" b="1" i="0" u="none" strike="noStrike" baseline="0">
                <a:solidFill>
                  <a:srgbClr val="000000"/>
                </a:solidFill>
                <a:latin typeface="Calibri" panose="020F0502020204030204" pitchFamily="34" charset="0"/>
                <a:ea typeface="Arial"/>
                <a:cs typeface="Arial"/>
              </a:defRPr>
            </a:pPr>
            <a:endParaRPr lang="sk-SK"/>
          </a:p>
        </c:txPr>
        <c:crossAx val="147944960"/>
        <c:crosses val="autoZero"/>
        <c:auto val="1"/>
        <c:lblAlgn val="ctr"/>
        <c:lblOffset val="100"/>
        <c:noMultiLvlLbl val="0"/>
      </c:catAx>
      <c:valAx>
        <c:axId val="147944960"/>
        <c:scaling>
          <c:orientation val="minMax"/>
        </c:scaling>
        <c:delete val="0"/>
        <c:axPos val="b"/>
        <c:numFmt formatCode="0.0" sourceLinked="1"/>
        <c:majorTickMark val="out"/>
        <c:minorTickMark val="none"/>
        <c:tickLblPos val="nextTo"/>
        <c:spPr>
          <a:ln w="2322">
            <a:solidFill>
              <a:srgbClr val="000000"/>
            </a:solidFill>
            <a:prstDash val="solid"/>
          </a:ln>
        </c:spPr>
        <c:txPr>
          <a:bodyPr rot="0" vert="horz"/>
          <a:lstStyle/>
          <a:p>
            <a:pPr>
              <a:defRPr sz="585" b="0" i="0" u="none" strike="noStrike" baseline="0">
                <a:solidFill>
                  <a:srgbClr val="000000"/>
                </a:solidFill>
                <a:latin typeface="Arial"/>
                <a:ea typeface="Arial"/>
                <a:cs typeface="Arial"/>
              </a:defRPr>
            </a:pPr>
            <a:endParaRPr lang="sk-SK"/>
          </a:p>
        </c:txPr>
        <c:crossAx val="147943424"/>
        <c:crosses val="autoZero"/>
        <c:crossBetween val="between"/>
        <c:majorUnit val="10"/>
      </c:valAx>
      <c:spPr>
        <a:noFill/>
        <a:ln w="18578">
          <a:noFill/>
        </a:ln>
      </c:spPr>
    </c:plotArea>
    <c:plotVisOnly val="1"/>
    <c:dispBlanksAs val="gap"/>
    <c:showDLblsOverMax val="0"/>
  </c:chart>
  <c:spPr>
    <a:noFill/>
    <a:ln>
      <a:noFill/>
    </a:ln>
  </c:spPr>
  <c:txPr>
    <a:bodyPr/>
    <a:lstStyle/>
    <a:p>
      <a:pPr>
        <a:defRPr sz="585" b="0" i="0" u="none" strike="noStrike" baseline="0">
          <a:solidFill>
            <a:srgbClr val="000000"/>
          </a:solidFill>
          <a:latin typeface="Arial"/>
          <a:ea typeface="Arial"/>
          <a:cs typeface="Arial"/>
        </a:defRPr>
      </a:pPr>
      <a:endParaRPr lang="sk-SK"/>
    </a:p>
  </c:txPr>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1C0154-4D04-42F9-865E-7B5163E4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4557</Words>
  <Characters>25975</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Bielikova</dc:creator>
  <cp:lastModifiedBy>Marcela Bielikova</cp:lastModifiedBy>
  <cp:revision>3</cp:revision>
  <dcterms:created xsi:type="dcterms:W3CDTF">2017-05-16T07:07:00Z</dcterms:created>
  <dcterms:modified xsi:type="dcterms:W3CDTF">2017-05-16T07:07:00Z</dcterms:modified>
</cp:coreProperties>
</file>