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7C" w:rsidRDefault="00B34E76" w:rsidP="0044417C">
      <w:pPr>
        <w:pStyle w:val="Nadpis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44417C">
        <w:rPr>
          <w:sz w:val="26"/>
          <w:szCs w:val="26"/>
        </w:rPr>
        <w:t>Právne vedomie mládeže v oblasti ľudských práv</w:t>
      </w:r>
    </w:p>
    <w:p w:rsidR="0044417C" w:rsidRPr="0044417C" w:rsidRDefault="0044417C" w:rsidP="00AE10E3">
      <w:pPr>
        <w:jc w:val="both"/>
        <w:rPr>
          <w:sz w:val="24"/>
          <w:szCs w:val="24"/>
        </w:rPr>
      </w:pPr>
      <w:r w:rsidRPr="0044417C">
        <w:rPr>
          <w:sz w:val="24"/>
          <w:szCs w:val="24"/>
        </w:rPr>
        <w:t>Autor: Mgr. Marcela Bielikova</w:t>
      </w:r>
      <w:r>
        <w:rPr>
          <w:sz w:val="24"/>
          <w:szCs w:val="24"/>
        </w:rPr>
        <w:t>, CVTI SR, Staré grunty 52, 842 44 Bratislava</w:t>
      </w:r>
    </w:p>
    <w:p w:rsidR="0044417C" w:rsidRPr="0044417C" w:rsidRDefault="0044417C" w:rsidP="00AE10E3">
      <w:pPr>
        <w:jc w:val="both"/>
        <w:rPr>
          <w:sz w:val="24"/>
          <w:szCs w:val="24"/>
        </w:rPr>
      </w:pPr>
    </w:p>
    <w:p w:rsidR="0044417C" w:rsidRDefault="0044417C" w:rsidP="00AE10E3">
      <w:pPr>
        <w:jc w:val="both"/>
        <w:rPr>
          <w:i/>
          <w:sz w:val="24"/>
          <w:szCs w:val="24"/>
        </w:rPr>
      </w:pPr>
    </w:p>
    <w:p w:rsidR="00AE10E3" w:rsidRDefault="00AE10E3" w:rsidP="00AE10E3">
      <w:pPr>
        <w:jc w:val="both"/>
        <w:rPr>
          <w:rStyle w:val="Siln"/>
          <w:b w:val="0"/>
        </w:rPr>
      </w:pPr>
      <w:r>
        <w:rPr>
          <w:i/>
          <w:sz w:val="24"/>
          <w:szCs w:val="24"/>
        </w:rPr>
        <w:t xml:space="preserve">Ústava SR zakotvuje pre každého slobodu a rovnosť v dôstojnosti i v právach a zaručuje základné práva a slobody na území SR všetkým, bez ohľadu na pohlavie, rasu, farbu pleti, jazyk, vieru a náboženstvo, politické či iné zmýšľanie, národný alebo sociálny pôvod, príslušnosť k národnostnej alebo etnickej skupine, majetok, rod alebo iné postavenie. </w:t>
      </w:r>
      <w:r>
        <w:rPr>
          <w:i/>
          <w:noProof/>
          <w:sz w:val="24"/>
          <w:szCs w:val="24"/>
        </w:rPr>
        <w:t>Základné práva a slobody sú neodňateľné, nescudziteľné, nepremlčateľné a nezrušiteľné.</w:t>
      </w:r>
      <w:r>
        <w:rPr>
          <w:rStyle w:val="Siln"/>
        </w:rPr>
        <w:t xml:space="preserve"> </w:t>
      </w:r>
    </w:p>
    <w:p w:rsidR="00AE10E3" w:rsidRDefault="00AE10E3" w:rsidP="00AE10E3">
      <w:pPr>
        <w:jc w:val="both"/>
        <w:rPr>
          <w:rStyle w:val="Siln"/>
        </w:rPr>
      </w:pPr>
      <w:r>
        <w:rPr>
          <w:rStyle w:val="Siln"/>
        </w:rPr>
        <w:t xml:space="preserve">     </w:t>
      </w:r>
    </w:p>
    <w:p w:rsidR="00AE10E3" w:rsidRDefault="00AE10E3" w:rsidP="00AE10E3">
      <w:pPr>
        <w:jc w:val="both"/>
        <w:rPr>
          <w:sz w:val="22"/>
          <w:szCs w:val="22"/>
        </w:rPr>
      </w:pPr>
      <w:r>
        <w:rPr>
          <w:rStyle w:val="Siln"/>
        </w:rPr>
        <w:t xml:space="preserve">                                             </w:t>
      </w:r>
      <w:r>
        <w:rPr>
          <w:b/>
          <w:i/>
        </w:rPr>
        <w:t>Celoštátna stratégia ochrany a podpory ľudských práv v Slovenskej republike</w:t>
      </w:r>
    </w:p>
    <w:p w:rsidR="00AE10E3" w:rsidRDefault="00AE10E3" w:rsidP="00AE10E3">
      <w:pPr>
        <w:jc w:val="both"/>
        <w:rPr>
          <w:b/>
          <w:i/>
        </w:rPr>
      </w:pPr>
    </w:p>
    <w:p w:rsidR="00AE10E3" w:rsidRDefault="00AE10E3" w:rsidP="00AE10E3">
      <w:pPr>
        <w:pStyle w:val="Normlnywebov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10E3" w:rsidRDefault="00AE10E3" w:rsidP="00AE10E3">
      <w:pPr>
        <w:pStyle w:val="Normlnywebov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10E3" w:rsidRDefault="00AE10E3" w:rsidP="00AE10E3">
      <w:pPr>
        <w:jc w:val="both"/>
        <w:rPr>
          <w:sz w:val="24"/>
          <w:szCs w:val="24"/>
        </w:rPr>
      </w:pPr>
    </w:p>
    <w:p w:rsidR="00AE10E3" w:rsidRPr="0044417C" w:rsidRDefault="00AE10E3" w:rsidP="00AE10E3">
      <w:pPr>
        <w:jc w:val="both"/>
        <w:rPr>
          <w:bCs/>
        </w:rPr>
      </w:pPr>
      <w:r>
        <w:rPr>
          <w:sz w:val="24"/>
          <w:szCs w:val="24"/>
        </w:rPr>
        <w:t xml:space="preserve">Vychádzajúc zo Všeobecnej deklarácie ľudských práv, z  Deklarácie práv dieťaťa a z Dohovoru o právach dieťaťa má každé dieťa právo na rodičovskú lásku, vzdelanie a zábavu. Preto by sa každý človek mal snažiť, aby deti tieto práva mali. Nové chápanie  dieťaťa ako aktívneho subjektu a statusu jedinečnej a neopakovateľnej bytosti a nositeľa základných práv našlo svoje vyjadrenie už v Deklarácii práv dieťaťa OSN z 20. novembra 1959, ale veľmi konkrétne v  prijatom </w:t>
      </w:r>
      <w:r>
        <w:rPr>
          <w:rStyle w:val="Siln"/>
          <w:b w:val="0"/>
          <w:sz w:val="24"/>
          <w:szCs w:val="24"/>
        </w:rPr>
        <w:t>Dohovore o právach dieťaťa,  ktorý vychádza z princípu  najvyššieho záujmu dieťaťa. Veď</w:t>
      </w:r>
      <w:r>
        <w:rPr>
          <w:rStyle w:val="Siln"/>
          <w:sz w:val="24"/>
          <w:szCs w:val="24"/>
        </w:rPr>
        <w:t xml:space="preserve"> „ľudstvo je povinné dať dieťaťu to najlepšie čo má“.</w:t>
      </w:r>
    </w:p>
    <w:p w:rsidR="0044417C" w:rsidRDefault="0044417C" w:rsidP="00AE10E3">
      <w:pPr>
        <w:jc w:val="both"/>
        <w:rPr>
          <w:sz w:val="24"/>
          <w:szCs w:val="24"/>
        </w:rPr>
      </w:pPr>
    </w:p>
    <w:p w:rsidR="00AE10E3" w:rsidRDefault="00AE10E3" w:rsidP="00AE10E3">
      <w:pPr>
        <w:jc w:val="both"/>
        <w:rPr>
          <w:sz w:val="24"/>
          <w:szCs w:val="24"/>
        </w:rPr>
      </w:pPr>
      <w:r>
        <w:rPr>
          <w:sz w:val="24"/>
          <w:szCs w:val="24"/>
        </w:rPr>
        <w:t>Výskum vzdelávania a uplatňovania ľudských práv v školskom a rodinnom pros</w:t>
      </w:r>
      <w:r w:rsidR="00DE0FD2">
        <w:rPr>
          <w:sz w:val="24"/>
          <w:szCs w:val="24"/>
        </w:rPr>
        <w:t xml:space="preserve">tredí  </w:t>
      </w:r>
      <w:r>
        <w:rPr>
          <w:sz w:val="24"/>
          <w:szCs w:val="24"/>
        </w:rPr>
        <w:t>sa realizuje v rámci dlhodobého monitoringu vzdelávania a uplatňovania ľudských práv a súvisí s napĺňaním priority III ( Výchova, vzdelávanie, odborná príprava a výskum v oblasti ľudských práv) Celoštátnej stratégie ochrany a podpory ľudských práv v Slovenskej republike. Cieľom  reprezentatívneho  celoslovenského výskumu výchovy k  ľudským právam v </w:t>
      </w:r>
      <w:r w:rsidR="00CB1291">
        <w:rPr>
          <w:sz w:val="24"/>
          <w:szCs w:val="24"/>
        </w:rPr>
        <w:t>školskom a rodinnom prostredí bolo</w:t>
      </w:r>
      <w:r>
        <w:rPr>
          <w:sz w:val="24"/>
          <w:szCs w:val="24"/>
        </w:rPr>
        <w:t xml:space="preserve"> </w:t>
      </w:r>
      <w:r w:rsidR="00DE0FD2">
        <w:rPr>
          <w:sz w:val="24"/>
          <w:szCs w:val="24"/>
        </w:rPr>
        <w:t>v roku 2016 z</w:t>
      </w:r>
      <w:r>
        <w:rPr>
          <w:sz w:val="24"/>
          <w:szCs w:val="24"/>
        </w:rPr>
        <w:t xml:space="preserve">mapovať a analyzovať  právne vedomie žiakov, zdroje informácií o ľudských právach (zastúpenie školy a rodiny) a úroveň spolupráce školy a rodiny žiaka pri výchove k ľudským právam, ako aj  mieru participácie rodičov na výchove detí k ľudským právam. Úloha súčasne poukazuje na nedostatky v dodržiavaní ľudských práv, ako v prostredí školy tak aj rodiny a získané výsledky porovnáva s predchádzajúcimi výskumnými zisťovaniami (roky 2007, 2009, 2012 a 2014) s cieľom načrtnúť vývojové trendy skúmaných javov.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Veď ako sa hovorí v Stratégii  „ je potrebné a nevyhnutné zásadne zvýšiť štandardy výchovy a vzdelávania v agende ľudských práv v SR tak, aby sa </w:t>
      </w:r>
      <w:proofErr w:type="spellStart"/>
      <w:r>
        <w:rPr>
          <w:sz w:val="24"/>
          <w:szCs w:val="24"/>
        </w:rPr>
        <w:t>ľudskoprávna</w:t>
      </w:r>
      <w:proofErr w:type="spellEnd"/>
      <w:r>
        <w:rPr>
          <w:sz w:val="24"/>
          <w:szCs w:val="24"/>
        </w:rPr>
        <w:t xml:space="preserve"> problematika stala prirodzenou súčasťou všetkých oblastí a úrovní vzdelávacieho procesu. Výchova a vzdelávanie musia byť vnímané ako kľúčové nástroje rozvíjania kultúry tolerancie, </w:t>
      </w:r>
      <w:proofErr w:type="spellStart"/>
      <w:r>
        <w:rPr>
          <w:sz w:val="24"/>
          <w:szCs w:val="24"/>
        </w:rPr>
        <w:t>inkluzívnosti</w:t>
      </w:r>
      <w:proofErr w:type="spellEnd"/>
      <w:r>
        <w:rPr>
          <w:sz w:val="24"/>
          <w:szCs w:val="24"/>
        </w:rPr>
        <w:t xml:space="preserve"> a otvorenosti. </w:t>
      </w:r>
    </w:p>
    <w:p w:rsidR="0044417C" w:rsidRDefault="0044417C" w:rsidP="0044417C">
      <w:pPr>
        <w:jc w:val="both"/>
        <w:rPr>
          <w:sz w:val="24"/>
          <w:szCs w:val="24"/>
        </w:rPr>
      </w:pPr>
    </w:p>
    <w:p w:rsidR="00AE10E3" w:rsidRDefault="00DE0FD2" w:rsidP="00444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príspevku sme sa </w:t>
      </w:r>
      <w:r w:rsidR="00CB1291">
        <w:rPr>
          <w:sz w:val="24"/>
          <w:szCs w:val="24"/>
        </w:rPr>
        <w:t>zamerali na výsledky skúmania edukačného procesu a vedomostí žiakov základných a stredných škôl v oblasti ľudských práv.</w:t>
      </w:r>
      <w:r w:rsidR="00E63264">
        <w:rPr>
          <w:sz w:val="24"/>
          <w:szCs w:val="24"/>
        </w:rPr>
        <w:t xml:space="preserve"> Výskum sa realizoval na vzorke 2350 respondentov</w:t>
      </w:r>
      <w:r w:rsidR="0044417C">
        <w:rPr>
          <w:sz w:val="24"/>
          <w:szCs w:val="24"/>
        </w:rPr>
        <w:t xml:space="preserve">. </w:t>
      </w:r>
      <w:r w:rsidR="00AE10E3">
        <w:rPr>
          <w:sz w:val="24"/>
          <w:szCs w:val="24"/>
        </w:rPr>
        <w:t xml:space="preserve">Výberovými kritériami boli pohlavie, vek, typ navštevovanej školy, ročník, veľkosť bydliska a kraj SR. </w:t>
      </w:r>
    </w:p>
    <w:p w:rsidR="0044417C" w:rsidRDefault="0044417C" w:rsidP="0044417C">
      <w:pPr>
        <w:jc w:val="both"/>
        <w:rPr>
          <w:sz w:val="24"/>
          <w:szCs w:val="24"/>
        </w:rPr>
      </w:pPr>
    </w:p>
    <w:p w:rsidR="0044417C" w:rsidRDefault="0044417C" w:rsidP="0044417C">
      <w:pPr>
        <w:jc w:val="both"/>
        <w:rPr>
          <w:sz w:val="24"/>
          <w:szCs w:val="24"/>
        </w:rPr>
      </w:pPr>
    </w:p>
    <w:p w:rsidR="0044417C" w:rsidRDefault="0044417C" w:rsidP="0044417C">
      <w:pPr>
        <w:jc w:val="both"/>
        <w:rPr>
          <w:sz w:val="24"/>
          <w:szCs w:val="24"/>
        </w:rPr>
      </w:pPr>
    </w:p>
    <w:p w:rsidR="0044417C" w:rsidRDefault="0044417C" w:rsidP="0044417C">
      <w:pPr>
        <w:jc w:val="both"/>
        <w:rPr>
          <w:sz w:val="24"/>
          <w:szCs w:val="24"/>
        </w:rPr>
      </w:pPr>
    </w:p>
    <w:p w:rsidR="0044417C" w:rsidRDefault="0044417C" w:rsidP="0044417C">
      <w:pPr>
        <w:jc w:val="both"/>
        <w:rPr>
          <w:sz w:val="24"/>
          <w:szCs w:val="24"/>
        </w:rPr>
      </w:pPr>
    </w:p>
    <w:p w:rsidR="0044417C" w:rsidRPr="0044417C" w:rsidRDefault="0044417C" w:rsidP="0044417C">
      <w:pPr>
        <w:jc w:val="both"/>
        <w:rPr>
          <w:sz w:val="24"/>
          <w:szCs w:val="24"/>
        </w:rPr>
      </w:pPr>
    </w:p>
    <w:p w:rsidR="00AE10E3" w:rsidRDefault="00AE10E3" w:rsidP="00AE10E3">
      <w:pPr>
        <w:pStyle w:val="Nadpis3"/>
        <w:rPr>
          <w:sz w:val="26"/>
          <w:szCs w:val="26"/>
        </w:rPr>
      </w:pPr>
      <w:bookmarkStart w:id="1" w:name="_Toc404331402"/>
      <w:bookmarkStart w:id="2" w:name="_Toc338413876"/>
      <w:bookmarkStart w:id="3" w:name="_Toc338413598"/>
      <w:bookmarkStart w:id="4" w:name="_Toc338413556"/>
      <w:bookmarkStart w:id="5" w:name="_Toc338413475"/>
      <w:bookmarkStart w:id="6" w:name="_Toc338413433"/>
      <w:bookmarkStart w:id="7" w:name="_Toc338413234"/>
      <w:r>
        <w:rPr>
          <w:sz w:val="26"/>
          <w:szCs w:val="26"/>
        </w:rPr>
        <w:lastRenderedPageBreak/>
        <w:t xml:space="preserve">Právne vedomie </w:t>
      </w:r>
      <w:bookmarkEnd w:id="1"/>
      <w:bookmarkEnd w:id="2"/>
      <w:bookmarkEnd w:id="3"/>
      <w:bookmarkEnd w:id="4"/>
      <w:bookmarkEnd w:id="5"/>
      <w:bookmarkEnd w:id="6"/>
      <w:bookmarkEnd w:id="7"/>
    </w:p>
    <w:p w:rsidR="00AE10E3" w:rsidRDefault="00AE10E3" w:rsidP="00AE10E3">
      <w:pPr>
        <w:pStyle w:val="Zkladntext"/>
        <w:jc w:val="both"/>
        <w:rPr>
          <w:i/>
          <w:color w:val="FF6600"/>
        </w:rPr>
      </w:pPr>
      <w:r>
        <w:rPr>
          <w:i/>
        </w:rPr>
        <w:t>Cieľom vzdelávania k ľudským právam je zvýšiť právne vedomie žiakov  o ľudských právach, ako aj o právach špecifikovaných pre dieťa. Výchova k občianstvu, ktorého súčasťou sú práve ľudské práva je jednou z najdôležitejších častí vzdelávania a jej cieľom je vychovať vzdelaného človeka so správnym a aktívnym postojom k princípom občianskej spoločnosti, teda aj k ľudským právam.</w:t>
      </w:r>
      <w:r>
        <w:rPr>
          <w:rStyle w:val="Odkaznapoznmkupodiarou"/>
          <w:i/>
        </w:rPr>
        <w:footnoteReference w:id="1"/>
      </w:r>
      <w:r>
        <w:rPr>
          <w:i/>
        </w:rPr>
        <w:t xml:space="preserve"> </w:t>
      </w:r>
    </w:p>
    <w:p w:rsidR="00AE10E3" w:rsidRDefault="00AE10E3" w:rsidP="00AE10E3">
      <w:pPr>
        <w:spacing w:line="360" w:lineRule="auto"/>
        <w:jc w:val="both"/>
        <w:rPr>
          <w:b/>
          <w:color w:val="FF0000"/>
        </w:rPr>
      </w:pPr>
    </w:p>
    <w:p w:rsidR="00AE10E3" w:rsidRDefault="00AE10E3" w:rsidP="00AE10E3">
      <w:pPr>
        <w:pStyle w:val="Nadpis6"/>
        <w:spacing w:line="240" w:lineRule="auto"/>
        <w:jc w:val="left"/>
      </w:pPr>
      <w:bookmarkStart w:id="8" w:name="_Toc468343063"/>
      <w:r>
        <w:t>Znalosť konkrétnych práv definovaných pre deti</w:t>
      </w:r>
      <w:bookmarkEnd w:id="8"/>
    </w:p>
    <w:p w:rsidR="00AE10E3" w:rsidRDefault="00AE10E3" w:rsidP="00AE10E3">
      <w:pPr>
        <w:pStyle w:val="Zarkazkladnhotextu2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>Výchovnovzdelávací proces poskytuje vhodné prostredie na odovzdávanie poznatkov a hodnôt potrebných na to, aby sa mladí ľudia aktívne zapojili do spoločnosti, aby sa stali jej platnými členmi. Cieľom výchovy a vzdelávania k ľudským právam v školách a nielen v nich je osvojiť si vedomosti a zručnosti, formovať postoje dôležité pre ľudskú dôstojnosť, informovanosť v súlade s ľudskými právami. Problematika ľudských práv je začlenená do učebných osnov viacerými spôsobmi: ako samostatný predmet, ako kurz s určeným obsahom, ako súčasť existujúcich predmetov (občianska výchova, etika, náuka o spoločnosti, občianska náuka a pod.), ako súhrn tém zaradených do vyučovacích predmetov , prípadne ako kombinácia prístupov. V súvislosti so vzdelávaním v oblasti ľudských práv nás vo výskume zaujímalo, či žiaci základných a stredných škôl poznajú svoje práva.</w:t>
      </w:r>
      <w:r>
        <w:rPr>
          <w:i/>
          <w:color w:val="FF0000"/>
          <w:sz w:val="24"/>
          <w:szCs w:val="24"/>
        </w:rPr>
        <w:t xml:space="preserve"> </w:t>
      </w:r>
    </w:p>
    <w:p w:rsidR="00AE10E3" w:rsidRDefault="00DE0FD2" w:rsidP="00006864">
      <w:pPr>
        <w:pStyle w:val="Zarkazkladnhotextu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E10E3">
        <w:rPr>
          <w:sz w:val="24"/>
          <w:szCs w:val="24"/>
        </w:rPr>
        <w:t xml:space="preserve">ajznámejšími právami dieťaťa  sú pre žiakov  nasledujúce práva: </w:t>
      </w:r>
      <w:r w:rsidR="00AE10E3">
        <w:rPr>
          <w:b/>
          <w:sz w:val="24"/>
          <w:szCs w:val="24"/>
        </w:rPr>
        <w:t xml:space="preserve">právo na vzdelanie, </w:t>
      </w:r>
      <w:r w:rsidR="00AE10E3">
        <w:rPr>
          <w:bCs/>
          <w:sz w:val="24"/>
          <w:szCs w:val="24"/>
        </w:rPr>
        <w:t xml:space="preserve">ktoré uviedlo </w:t>
      </w:r>
      <w:r w:rsidR="00AE10E3">
        <w:rPr>
          <w:b/>
          <w:bCs/>
          <w:sz w:val="24"/>
          <w:szCs w:val="24"/>
        </w:rPr>
        <w:t>70,5</w:t>
      </w:r>
      <w:r w:rsidR="00AE10E3">
        <w:rPr>
          <w:b/>
          <w:sz w:val="24"/>
          <w:szCs w:val="24"/>
        </w:rPr>
        <w:t>%</w:t>
      </w:r>
      <w:r w:rsidR="00AE10E3">
        <w:rPr>
          <w:sz w:val="24"/>
          <w:szCs w:val="24"/>
        </w:rPr>
        <w:t xml:space="preserve"> žiakov, </w:t>
      </w:r>
      <w:r w:rsidR="00AE10E3">
        <w:rPr>
          <w:b/>
          <w:sz w:val="24"/>
          <w:szCs w:val="24"/>
        </w:rPr>
        <w:t>právo na slobodu prejavu, slobodu náboženstva a prístupu k informáciám (41,1%),</w:t>
      </w:r>
      <w:r w:rsidR="00AE10E3">
        <w:rPr>
          <w:sz w:val="24"/>
          <w:szCs w:val="24"/>
        </w:rPr>
        <w:t xml:space="preserve"> </w:t>
      </w:r>
      <w:r w:rsidR="00AE10E3">
        <w:rPr>
          <w:b/>
          <w:sz w:val="24"/>
          <w:szCs w:val="24"/>
        </w:rPr>
        <w:t>právo na výchovu, starostlivosť rodičov a rodinu (40,7%)</w:t>
      </w:r>
      <w:r w:rsidR="00AE10E3">
        <w:rPr>
          <w:sz w:val="24"/>
          <w:szCs w:val="24"/>
        </w:rPr>
        <w:t xml:space="preserve"> a </w:t>
      </w:r>
      <w:r w:rsidR="00AE10E3">
        <w:rPr>
          <w:b/>
          <w:sz w:val="24"/>
          <w:szCs w:val="24"/>
        </w:rPr>
        <w:t>právo na život, lásku (29,5%)</w:t>
      </w:r>
      <w:r w:rsidR="00AE10E3">
        <w:rPr>
          <w:sz w:val="24"/>
          <w:szCs w:val="24"/>
        </w:rPr>
        <w:t>. Medzi men</w:t>
      </w:r>
      <w:r w:rsidR="00D00676">
        <w:rPr>
          <w:sz w:val="24"/>
          <w:szCs w:val="24"/>
        </w:rPr>
        <w:t>ej frekventované odpovede</w:t>
      </w:r>
      <w:r w:rsidR="00AE10E3">
        <w:rPr>
          <w:sz w:val="24"/>
          <w:szCs w:val="24"/>
        </w:rPr>
        <w:t xml:space="preserve"> patrilo  právo na zdravie a</w:t>
      </w:r>
      <w:r w:rsidR="00D00676">
        <w:rPr>
          <w:sz w:val="24"/>
          <w:szCs w:val="24"/>
        </w:rPr>
        <w:t> lekársku  starostlivosť</w:t>
      </w:r>
      <w:r w:rsidR="00AE10E3">
        <w:rPr>
          <w:sz w:val="24"/>
          <w:szCs w:val="24"/>
        </w:rPr>
        <w:t>,  na združovanie</w:t>
      </w:r>
      <w:r w:rsidR="00D00676">
        <w:rPr>
          <w:sz w:val="24"/>
          <w:szCs w:val="24"/>
        </w:rPr>
        <w:t xml:space="preserve"> a voľný čas a kamarátov</w:t>
      </w:r>
      <w:r w:rsidR="00AE10E3">
        <w:rPr>
          <w:sz w:val="24"/>
          <w:szCs w:val="24"/>
        </w:rPr>
        <w:t>. Pod</w:t>
      </w:r>
      <w:r w:rsidR="00D00676">
        <w:rPr>
          <w:sz w:val="24"/>
          <w:szCs w:val="24"/>
        </w:rPr>
        <w:t xml:space="preserve"> hranicou 10% sa nachádzalo</w:t>
      </w:r>
      <w:r w:rsidR="00AE10E3">
        <w:rPr>
          <w:sz w:val="24"/>
          <w:szCs w:val="24"/>
        </w:rPr>
        <w:t xml:space="preserve">  právo na vlastnú identi</w:t>
      </w:r>
      <w:r w:rsidR="00D00676">
        <w:rPr>
          <w:sz w:val="24"/>
          <w:szCs w:val="24"/>
        </w:rPr>
        <w:t>tu, dôstojnosť  a uznanie</w:t>
      </w:r>
      <w:r w:rsidR="00AE10E3">
        <w:rPr>
          <w:sz w:val="24"/>
          <w:szCs w:val="24"/>
        </w:rPr>
        <w:t>, pričom oproti roku 2014 dochádza k výraz</w:t>
      </w:r>
      <w:r w:rsidR="00D00676">
        <w:rPr>
          <w:sz w:val="24"/>
          <w:szCs w:val="24"/>
        </w:rPr>
        <w:t>nejšiemu nárastu</w:t>
      </w:r>
      <w:r w:rsidR="00AE10E3">
        <w:rPr>
          <w:sz w:val="24"/>
          <w:szCs w:val="24"/>
        </w:rPr>
        <w:t xml:space="preserve"> a  právo n</w:t>
      </w:r>
      <w:r w:rsidR="00D00676">
        <w:rPr>
          <w:sz w:val="24"/>
          <w:szCs w:val="24"/>
        </w:rPr>
        <w:t>a zabezpečenie a súkromie</w:t>
      </w:r>
      <w:r w:rsidR="00AE10E3">
        <w:rPr>
          <w:sz w:val="24"/>
          <w:szCs w:val="24"/>
        </w:rPr>
        <w:t>.  Žiaci vo svojich odpovediach spomenuli takmer všetky základné práva dieťaťa definované v dokumente Dohovor o právach dieťaťa s výnimkou práva na ochranu pred negatívnymi javmi. Hoci poradie preferencie jednotlivých ľudských práv zostáva nezmenené, mladí ľudia si stále viac uvedomujú dôležitosť práva na vlastnú identitu, dôstojnosť a uznanie. Prehľad uvedených ľudských práv podrobne znázorňuje  graf č.1.</w:t>
      </w:r>
    </w:p>
    <w:p w:rsidR="00AE10E3" w:rsidRDefault="00AE10E3" w:rsidP="00AE10E3">
      <w:pPr>
        <w:rPr>
          <w:b/>
        </w:rPr>
      </w:pPr>
      <w:r>
        <w:rPr>
          <w:b/>
        </w:rPr>
        <w:t>Graf č. 1</w:t>
      </w:r>
    </w:p>
    <w:p w:rsidR="00AE10E3" w:rsidRDefault="00AE10E3" w:rsidP="00AE10E3">
      <w:pPr>
        <w:pStyle w:val="Zkladntext"/>
        <w:jc w:val="both"/>
        <w:rPr>
          <w:sz w:val="20"/>
        </w:rPr>
      </w:pPr>
      <w:r>
        <w:rPr>
          <w:noProof/>
          <w:lang w:eastAsia="sk-SK"/>
        </w:rPr>
        <w:drawing>
          <wp:inline distT="0" distB="0" distL="0" distR="0">
            <wp:extent cx="6012180" cy="1661160"/>
            <wp:effectExtent l="0" t="0" r="0" b="0"/>
            <wp:docPr id="7" name="Gra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10E3" w:rsidRDefault="00AE10E3" w:rsidP="00AE10E3">
      <w:pPr>
        <w:pStyle w:val="Zkladntext"/>
        <w:jc w:val="both"/>
        <w:rPr>
          <w:sz w:val="20"/>
        </w:rPr>
      </w:pPr>
    </w:p>
    <w:p w:rsidR="00AE10E3" w:rsidRDefault="00AE10E3" w:rsidP="00AE10E3">
      <w:pPr>
        <w:pStyle w:val="Zkladntext"/>
        <w:jc w:val="both"/>
        <w:rPr>
          <w:color w:val="FF0000"/>
          <w:szCs w:val="24"/>
        </w:rPr>
      </w:pPr>
      <w:r>
        <w:rPr>
          <w:sz w:val="20"/>
        </w:rPr>
        <w:t>Poznámka: Súčet odpovedí presahuje 100 % z dôvodu možnosti uviesť viac odpovedí</w:t>
      </w:r>
    </w:p>
    <w:p w:rsidR="00AE10E3" w:rsidRDefault="00AE10E3" w:rsidP="00AE10E3">
      <w:pPr>
        <w:pStyle w:val="Zkladntext"/>
        <w:ind w:firstLine="708"/>
        <w:jc w:val="both"/>
        <w:rPr>
          <w:szCs w:val="24"/>
        </w:rPr>
      </w:pPr>
    </w:p>
    <w:p w:rsidR="00AE10E3" w:rsidRDefault="00006864" w:rsidP="00AE10E3">
      <w:pPr>
        <w:pStyle w:val="Zarkazkladnhotextu2"/>
        <w:spacing w:after="0" w:line="240" w:lineRule="auto"/>
        <w:ind w:left="0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P</w:t>
      </w:r>
      <w:r w:rsidR="00AE10E3">
        <w:rPr>
          <w:sz w:val="24"/>
          <w:szCs w:val="24"/>
        </w:rPr>
        <w:t>ráva dieťaťa vedeli uviesť v  o niečo vyš</w:t>
      </w:r>
      <w:r>
        <w:rPr>
          <w:sz w:val="24"/>
          <w:szCs w:val="24"/>
        </w:rPr>
        <w:t>šej miere dievčatá ako  chlapci</w:t>
      </w:r>
      <w:r w:rsidR="00AE10E3">
        <w:rPr>
          <w:sz w:val="24"/>
          <w:szCs w:val="24"/>
        </w:rPr>
        <w:t>, pričom uvedený trend je zreteľný vo všetkých rokoch skúmania. Nedostatky vo vedomostiach prezentovali výraznej</w:t>
      </w:r>
      <w:r w:rsidR="0044417C">
        <w:rPr>
          <w:sz w:val="24"/>
          <w:szCs w:val="24"/>
        </w:rPr>
        <w:t>šie mladší žiaci</w:t>
      </w:r>
      <w:r w:rsidR="00AE10E3">
        <w:rPr>
          <w:sz w:val="24"/>
          <w:szCs w:val="24"/>
        </w:rPr>
        <w:t>, najmä žiaci 8.a 9.ročníka základnej školy, kde až viac ako každý d</w:t>
      </w:r>
      <w:r w:rsidR="0044417C">
        <w:rPr>
          <w:sz w:val="24"/>
          <w:szCs w:val="24"/>
        </w:rPr>
        <w:t xml:space="preserve">esiaty oslovený  </w:t>
      </w:r>
      <w:r w:rsidR="00AE10E3">
        <w:rPr>
          <w:sz w:val="24"/>
          <w:szCs w:val="24"/>
        </w:rPr>
        <w:t xml:space="preserve"> nevedel definovať práva dieťaťa. Na mieru znalostí jednotlivých  práv dieťaťa tak  vplýva stupeň a typ školy, ktorú žiak navštevuje, dĺžka a obsah vzdelávania.  </w:t>
      </w:r>
      <w:r w:rsidR="00AE10E3">
        <w:rPr>
          <w:sz w:val="24"/>
          <w:szCs w:val="24"/>
        </w:rPr>
        <w:lastRenderedPageBreak/>
        <w:t>Analýzou odpovedí “neviem“ podľa jednotlivých krajov SR a veľkosti sídelnej jednotky sa zistilo, že práva dieťaťa  nevedeli najčastejšie uviesť žiaci z Trnavského a následne z Bratislavského kraja (TT 21,2%, BA 11,4%). Predpokladáme, že výsledky nemusia jednoznačne vystihovať skutočné vedomosti žiakov, dokumentujú do určitej miery nezáujem, prípadne ľahostajnosť k skúmanej problematike, prezentovaný práve odpoveďou neviem. Sú to respondenti z Bratislavského kraja, ktorí v najvyššom percente  prezentovali právo na vzdelanie (BA 69,2%), uvedomujúc si dôležitosť vzdelania pre ďalší život.  Právo na združovanie a voľný čas, právo na identitu i lekársku starostlivosť najviac zo všetkých  vo svojich odpovediach  uvádzali respondenti z Prešovského kraja a spolu so skúmanými žiakmi základných a stredných škôl z Košického kraja v najvyššom zastúpení poukazovali na právo na slobodu prejavu, prístup k informáciám a slobodu náboženstva. Až približne každý druhý respondent</w:t>
      </w:r>
      <w:r w:rsidR="0044417C">
        <w:rPr>
          <w:sz w:val="24"/>
          <w:szCs w:val="24"/>
        </w:rPr>
        <w:t xml:space="preserve"> z uvedených krajov </w:t>
      </w:r>
      <w:r w:rsidR="00AE10E3">
        <w:rPr>
          <w:sz w:val="24"/>
          <w:szCs w:val="24"/>
        </w:rPr>
        <w:t xml:space="preserve"> vo svojich odpovediach deklaroval právo na slobodu prejavu. Ostatné kraje SR vykazovali ni</w:t>
      </w:r>
      <w:r>
        <w:rPr>
          <w:sz w:val="24"/>
          <w:szCs w:val="24"/>
        </w:rPr>
        <w:t>žšie percentá</w:t>
      </w:r>
      <w:r w:rsidR="00AE10E3">
        <w:rPr>
          <w:sz w:val="24"/>
          <w:szCs w:val="24"/>
        </w:rPr>
        <w:t>, pričom najnižšiu hodnotu dosiahlo u opýtaných pochádzajúcich z Bratislavského a Žilin</w:t>
      </w:r>
      <w:r w:rsidR="0044417C">
        <w:rPr>
          <w:sz w:val="24"/>
          <w:szCs w:val="24"/>
        </w:rPr>
        <w:t>ského kraja</w:t>
      </w:r>
      <w:r w:rsidR="00AE10E3">
        <w:rPr>
          <w:sz w:val="24"/>
          <w:szCs w:val="24"/>
        </w:rPr>
        <w:t>.   Diferenciácie podľa veľkosti bydliska ukázali, že odpoveď neviem je rozšírenejšia u žiakov základných a stredných škôl  vo veľk</w:t>
      </w:r>
      <w:r>
        <w:rPr>
          <w:sz w:val="24"/>
          <w:szCs w:val="24"/>
        </w:rPr>
        <w:t xml:space="preserve">omestách a v najmenších obciach. </w:t>
      </w:r>
      <w:r w:rsidR="00AE10E3">
        <w:rPr>
          <w:sz w:val="24"/>
          <w:szCs w:val="24"/>
        </w:rPr>
        <w:t>Pritom sú to respondenti z najmenších lokalít do 2000 obyvateľov, ktorí najčastejšie zo všetkých deklarovali právo  na slobodu prejavu, prístup k informáci</w:t>
      </w:r>
      <w:r w:rsidR="0044417C">
        <w:rPr>
          <w:sz w:val="24"/>
          <w:szCs w:val="24"/>
        </w:rPr>
        <w:t>ám a slobodu náboženstva, právo na život</w:t>
      </w:r>
      <w:r w:rsidR="00AE10E3">
        <w:rPr>
          <w:sz w:val="24"/>
          <w:szCs w:val="24"/>
        </w:rPr>
        <w:t xml:space="preserve"> a právo n</w:t>
      </w:r>
      <w:r w:rsidR="0044417C">
        <w:rPr>
          <w:sz w:val="24"/>
          <w:szCs w:val="24"/>
        </w:rPr>
        <w:t>a zabezpečenie a súkromie</w:t>
      </w:r>
      <w:r w:rsidR="00AE10E3">
        <w:rPr>
          <w:sz w:val="24"/>
          <w:szCs w:val="24"/>
        </w:rPr>
        <w:t>.</w:t>
      </w:r>
      <w:r w:rsidR="00AE10E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Na mieru znalostí</w:t>
      </w:r>
      <w:r w:rsidR="00AE10E3">
        <w:rPr>
          <w:sz w:val="24"/>
          <w:szCs w:val="24"/>
        </w:rPr>
        <w:t xml:space="preserve">  práv dieťaťa vplýva aj výška  vzdelania rodičov a informovanie žiakov rodičmi o téme ľudských práv. Žiaci, ktorých rodičia majú vysokoškolské vzdelanie, vedeli  uviesť práva dieťaťa častejšie ako žiaci, ktorých rodičia majú </w:t>
      </w:r>
      <w:r>
        <w:rPr>
          <w:sz w:val="24"/>
          <w:szCs w:val="24"/>
        </w:rPr>
        <w:t>naj</w:t>
      </w:r>
      <w:r w:rsidR="00AE10E3">
        <w:rPr>
          <w:sz w:val="24"/>
          <w:szCs w:val="24"/>
        </w:rPr>
        <w:t xml:space="preserve">nižšie ukončené vzdelanie – základné vzdelanie. Je teda zrejmé, že pri výchove a vzdelávaní žiakov v oblasti ľudských práv popri škole významnú úlohu zohráva aj rodina. </w:t>
      </w:r>
    </w:p>
    <w:p w:rsidR="00CB1291" w:rsidRDefault="00CB1291" w:rsidP="00AE10E3">
      <w:pPr>
        <w:pStyle w:val="Zarkazkladnhotextu2"/>
        <w:spacing w:after="0" w:line="240" w:lineRule="auto"/>
        <w:ind w:left="0"/>
        <w:jc w:val="both"/>
        <w:rPr>
          <w:sz w:val="24"/>
          <w:szCs w:val="24"/>
        </w:rPr>
      </w:pPr>
    </w:p>
    <w:p w:rsidR="00AE10E3" w:rsidRDefault="00AE10E3" w:rsidP="00AE10E3">
      <w:pPr>
        <w:pStyle w:val="Zarkazkladnhotextu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Rozdiely medzi súborom</w:t>
      </w:r>
      <w:r>
        <w:rPr>
          <w:b/>
          <w:sz w:val="24"/>
          <w:szCs w:val="24"/>
        </w:rPr>
        <w:t xml:space="preserve"> žiakov základných škôl a súborom žiakov stredných škôl </w:t>
      </w:r>
      <w:r>
        <w:rPr>
          <w:sz w:val="24"/>
          <w:szCs w:val="24"/>
        </w:rPr>
        <w:t>poukázali na skutočnosť, že hoci v oboch súboroch dominuje právo na vzdelanie (ZŠ 68,6%, SŠ 72,2%), v odpovediach na základné práva dieťaťa existujú rozdiely podľa typu navštevovanej školy. Zatiaľ čo mladší žiaci častejšie definovali právo na rodinný život, výchovu a st</w:t>
      </w:r>
      <w:r w:rsidR="0044417C">
        <w:rPr>
          <w:sz w:val="24"/>
          <w:szCs w:val="24"/>
        </w:rPr>
        <w:t>arostlivosť</w:t>
      </w:r>
      <w:r>
        <w:rPr>
          <w:sz w:val="24"/>
          <w:szCs w:val="24"/>
        </w:rPr>
        <w:t xml:space="preserve"> a právo na zabezpečen</w:t>
      </w:r>
      <w:r w:rsidR="0044417C">
        <w:rPr>
          <w:sz w:val="24"/>
          <w:szCs w:val="24"/>
        </w:rPr>
        <w:t>ie a súkromie</w:t>
      </w:r>
      <w:r>
        <w:rPr>
          <w:sz w:val="24"/>
          <w:szCs w:val="24"/>
        </w:rPr>
        <w:t>, u stredoškolákov sa objavuje vo vyššom percente právo na slobodu prejavu a prístup k</w:t>
      </w:r>
      <w:r w:rsidR="0044417C">
        <w:rPr>
          <w:sz w:val="24"/>
          <w:szCs w:val="24"/>
        </w:rPr>
        <w:t> informáciám</w:t>
      </w:r>
      <w:r>
        <w:rPr>
          <w:sz w:val="24"/>
          <w:szCs w:val="24"/>
        </w:rPr>
        <w:t>, právo na zdravie a zdravotnú st</w:t>
      </w:r>
      <w:r w:rsidR="0044417C">
        <w:rPr>
          <w:sz w:val="24"/>
          <w:szCs w:val="24"/>
        </w:rPr>
        <w:t xml:space="preserve">arostlivosť </w:t>
      </w:r>
      <w:r>
        <w:rPr>
          <w:sz w:val="24"/>
          <w:szCs w:val="24"/>
        </w:rPr>
        <w:t xml:space="preserve"> a uznan</w:t>
      </w:r>
      <w:r w:rsidR="0044417C">
        <w:rPr>
          <w:sz w:val="24"/>
          <w:szCs w:val="24"/>
        </w:rPr>
        <w:t>ie a identitu</w:t>
      </w:r>
      <w:r>
        <w:rPr>
          <w:sz w:val="24"/>
          <w:szCs w:val="24"/>
        </w:rPr>
        <w:t>. Je teda zrejmé, že vo vyššom veku je pre jedinca dôležité popri práva na vzdelanie aj sloboda prejavu a prístup k informáciám, zdravie a zdravotná starostlivosť i  vlastná identita a uznanie, v mladšom veku sa dôraz kladie najmä ma rodinu, výchovu a starostlivosť. Výsostné miesto v definovaných právach žiakov základných aj stredných škôl zaujímalo aj právo na život a lásku, ktoré deklarovala takmer tretina oslovených ako zo</w:t>
      </w:r>
      <w:r w:rsidR="0044417C">
        <w:rPr>
          <w:sz w:val="24"/>
          <w:szCs w:val="24"/>
        </w:rPr>
        <w:t xml:space="preserve"> základných</w:t>
      </w:r>
      <w:r w:rsidR="00786335">
        <w:rPr>
          <w:sz w:val="24"/>
          <w:szCs w:val="24"/>
        </w:rPr>
        <w:t xml:space="preserve"> tak aj zo stredných škôl</w:t>
      </w:r>
      <w:r>
        <w:rPr>
          <w:sz w:val="24"/>
          <w:szCs w:val="24"/>
        </w:rPr>
        <w:t xml:space="preserve">. </w:t>
      </w:r>
    </w:p>
    <w:p w:rsidR="00AE10E3" w:rsidRDefault="00AE10E3" w:rsidP="00AE10E3">
      <w:pPr>
        <w:pStyle w:val="Zarkazkladnhotextu2"/>
        <w:spacing w:after="0" w:line="240" w:lineRule="auto"/>
        <w:ind w:left="0"/>
        <w:jc w:val="both"/>
        <w:rPr>
          <w:b/>
          <w:color w:val="FF0000"/>
          <w:sz w:val="24"/>
          <w:szCs w:val="24"/>
        </w:rPr>
      </w:pPr>
    </w:p>
    <w:p w:rsidR="00AE10E3" w:rsidRDefault="00AE10E3" w:rsidP="00006864">
      <w:pPr>
        <w:pStyle w:val="Zarkazkladnhotextu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základe </w:t>
      </w:r>
      <w:r>
        <w:rPr>
          <w:b/>
          <w:sz w:val="24"/>
          <w:szCs w:val="24"/>
        </w:rPr>
        <w:t xml:space="preserve">porovnania konkrétnych znalostí </w:t>
      </w:r>
      <w:r>
        <w:rPr>
          <w:sz w:val="24"/>
          <w:szCs w:val="24"/>
        </w:rPr>
        <w:t>práv dieťaťa u žiakov základných a stredných škôl v </w:t>
      </w:r>
      <w:r>
        <w:rPr>
          <w:b/>
          <w:sz w:val="24"/>
          <w:szCs w:val="24"/>
        </w:rPr>
        <w:t xml:space="preserve">analyzovanom výskume (rok </w:t>
      </w:r>
      <w:r>
        <w:rPr>
          <w:b/>
          <w:bCs/>
          <w:sz w:val="24"/>
          <w:szCs w:val="24"/>
        </w:rPr>
        <w:t>2016</w:t>
      </w:r>
      <w:r>
        <w:rPr>
          <w:b/>
          <w:sz w:val="24"/>
          <w:szCs w:val="24"/>
        </w:rPr>
        <w:t>) a vo výskumoch  realizovaných  v rokoch 2007, 2009, 2012,</w:t>
      </w:r>
      <w:r w:rsidR="00086F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2014 </w:t>
      </w:r>
      <w:r>
        <w:rPr>
          <w:sz w:val="24"/>
          <w:szCs w:val="24"/>
        </w:rPr>
        <w:t xml:space="preserve"> možno konštatovať, že vo všetkých  sledovaných rokoch sa na prvých miestach poradia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objavilo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právo na vzdelanie, právo na slobodu prejavu a prístup k informáciám, právo na výchovu a rodinu a právo na život.</w:t>
      </w:r>
      <w:r>
        <w:rPr>
          <w:sz w:val="24"/>
          <w:szCs w:val="24"/>
        </w:rPr>
        <w:t xml:space="preserve"> Podnetná sa javí skutočnosť, že tak ako  v predchádzajúcich rokoch najčastejšie zdôrazňované právo je právo na vzdelanie. Súčasní mladí ľudia mu pripisujú čoraz väčšiu dôležitosť obdobne ako v prípade práva na výchovu, rodinný život a starostlivosť.  Súčasne aj právo na slobodu prejavu a prístup k informáciám zaznamenáva oproti predchádzajúcemu zisťovaniu v roku 2014 nárast aj keď nedosahuje hodnotu z roku 2012. Súvisí to s väčšou slobodou mladých ľudí pri presadzovaní vlastného názoru, väčších možností prístupu k informáciám, prípadne  so zmenou hodnôt života so zameraním na vzdelanie a rodinu. Výsledky skúmania však celkovo potvrdili vysokú mieru  informovanosti. Tak zatiaľ čo v roku 2007 14,4% nevedelo definovať práva </w:t>
      </w:r>
      <w:r>
        <w:rPr>
          <w:sz w:val="24"/>
          <w:szCs w:val="24"/>
        </w:rPr>
        <w:lastRenderedPageBreak/>
        <w:t>dieťaťa a v roku 2009 to už bolo takmer  30%  (29,2%), v roku 2016 je to len 8,5% opýta</w:t>
      </w:r>
      <w:r w:rsidR="00CB1291">
        <w:rPr>
          <w:sz w:val="24"/>
          <w:szCs w:val="24"/>
        </w:rPr>
        <w:t>ných. Zistenia tak</w:t>
      </w:r>
      <w:r w:rsidR="00006864">
        <w:rPr>
          <w:sz w:val="24"/>
          <w:szCs w:val="24"/>
        </w:rPr>
        <w:t xml:space="preserve">  ukázali</w:t>
      </w:r>
      <w:r>
        <w:rPr>
          <w:sz w:val="24"/>
          <w:szCs w:val="24"/>
        </w:rPr>
        <w:t xml:space="preserve">, že  súčasní mladí ľudia disponujú výrazne väčším objemom vedomostí, kedy „len“ necelých 10%  oslovených priznalo, že práva dieťaťa nepozná. </w:t>
      </w:r>
    </w:p>
    <w:p w:rsidR="00AE10E3" w:rsidRDefault="00AE10E3" w:rsidP="00AE10E3">
      <w:pPr>
        <w:pStyle w:val="Zarkazkladnhotextu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>
        <w:rPr>
          <w:b/>
        </w:rPr>
        <w:t>Tabuľka č. 1</w:t>
      </w:r>
    </w:p>
    <w:tbl>
      <w:tblPr>
        <w:tblW w:w="910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18"/>
        <w:gridCol w:w="1379"/>
        <w:gridCol w:w="1003"/>
        <w:gridCol w:w="1129"/>
        <w:gridCol w:w="1090"/>
        <w:gridCol w:w="1089"/>
      </w:tblGrid>
      <w:tr w:rsidR="00AE10E3" w:rsidTr="00AE10E3">
        <w:trPr>
          <w:cantSplit/>
          <w:trHeight w:val="245"/>
        </w:trPr>
        <w:tc>
          <w:tcPr>
            <w:tcW w:w="3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Práva dieťaťa</w:t>
            </w:r>
          </w:p>
        </w:tc>
        <w:tc>
          <w:tcPr>
            <w:tcW w:w="5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%</w:t>
            </w:r>
          </w:p>
        </w:tc>
      </w:tr>
      <w:tr w:rsidR="00AE10E3" w:rsidTr="00AE10E3">
        <w:trPr>
          <w:cantSplit/>
          <w:trHeight w:val="245"/>
        </w:trPr>
        <w:tc>
          <w:tcPr>
            <w:tcW w:w="3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10E3" w:rsidRDefault="00AE10E3">
            <w:pPr>
              <w:rPr>
                <w:b/>
                <w:snapToGrid w:val="0"/>
                <w:color w:val="000000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2007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2009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2012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2014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2016</w:t>
            </w:r>
          </w:p>
        </w:tc>
      </w:tr>
      <w:tr w:rsidR="00AE10E3" w:rsidTr="00AE10E3">
        <w:trPr>
          <w:trHeight w:val="245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právo na vzdelanie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53,8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45,5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65,0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65,8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70,5</w:t>
            </w:r>
          </w:p>
        </w:tc>
      </w:tr>
      <w:tr w:rsidR="00AE10E3" w:rsidTr="00AE10E3">
        <w:trPr>
          <w:trHeight w:val="245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právo na voľný čas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18,5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15,1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9,6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10,3</w:t>
            </w:r>
          </w:p>
        </w:tc>
      </w:tr>
      <w:tr w:rsidR="00AE10E3" w:rsidTr="00AE10E3">
        <w:trPr>
          <w:trHeight w:val="267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právo na uznanie a identitu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13,9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4,6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3,4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3,2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7,5</w:t>
            </w:r>
          </w:p>
        </w:tc>
      </w:tr>
      <w:tr w:rsidR="00AE10E3" w:rsidTr="00AE10E3">
        <w:trPr>
          <w:trHeight w:val="267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 xml:space="preserve">právo na výchovu, rodinný život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35,4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24,3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31,1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32,3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40,7</w:t>
            </w:r>
          </w:p>
        </w:tc>
      </w:tr>
      <w:tr w:rsidR="00AE10E3" w:rsidTr="00AE10E3">
        <w:trPr>
          <w:trHeight w:val="245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právo na zdravie a starostlivosť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14,7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13,5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16,2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16,4</w:t>
            </w:r>
          </w:p>
        </w:tc>
      </w:tr>
      <w:tr w:rsidR="00AE10E3" w:rsidTr="00AE10E3">
        <w:trPr>
          <w:trHeight w:val="245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právo na slobodu prejavu  a </w:t>
            </w:r>
            <w:proofErr w:type="spellStart"/>
            <w:r>
              <w:rPr>
                <w:snapToGrid w:val="0"/>
                <w:color w:val="000000"/>
                <w:lang w:eastAsia="cs-CZ"/>
              </w:rPr>
              <w:t>inf</w:t>
            </w:r>
            <w:proofErr w:type="spellEnd"/>
            <w:r>
              <w:rPr>
                <w:snapToGrid w:val="0"/>
                <w:color w:val="000000"/>
                <w:lang w:eastAsia="cs-CZ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39,7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31,8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42,8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37,0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>41,1</w:t>
            </w:r>
          </w:p>
        </w:tc>
      </w:tr>
      <w:tr w:rsidR="00AE10E3" w:rsidTr="00AE10E3">
        <w:trPr>
          <w:trHeight w:val="245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právo na život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29,7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20,2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27,1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32,6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29,5</w:t>
            </w:r>
          </w:p>
        </w:tc>
      </w:tr>
      <w:tr w:rsidR="00AE10E3" w:rsidTr="00AE10E3">
        <w:trPr>
          <w:trHeight w:val="245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právo na zabezpečenie, súkromie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7,4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3,2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3,8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6,6</w:t>
            </w:r>
          </w:p>
        </w:tc>
      </w:tr>
      <w:tr w:rsidR="00AE10E3" w:rsidTr="00AE10E3">
        <w:trPr>
          <w:trHeight w:val="245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 xml:space="preserve">neviem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14,4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29,2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8,4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10,2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8,5</w:t>
            </w:r>
          </w:p>
        </w:tc>
      </w:tr>
    </w:tbl>
    <w:p w:rsidR="00AE10E3" w:rsidRDefault="00AE10E3" w:rsidP="00AE10E3">
      <w:pPr>
        <w:pStyle w:val="Zarkazkladnhotextu2"/>
        <w:tabs>
          <w:tab w:val="left" w:pos="2715"/>
        </w:tabs>
        <w:spacing w:line="240" w:lineRule="auto"/>
        <w:ind w:left="0"/>
        <w:jc w:val="both"/>
        <w:rPr>
          <w:b/>
          <w:sz w:val="24"/>
          <w:szCs w:val="24"/>
        </w:rPr>
      </w:pPr>
    </w:p>
    <w:p w:rsidR="0044417C" w:rsidRDefault="0044417C" w:rsidP="00AE10E3">
      <w:pPr>
        <w:pStyle w:val="Zarkazkladnhotextu2"/>
        <w:tabs>
          <w:tab w:val="left" w:pos="2715"/>
        </w:tabs>
        <w:spacing w:line="240" w:lineRule="auto"/>
        <w:ind w:left="0"/>
        <w:jc w:val="both"/>
        <w:rPr>
          <w:b/>
          <w:sz w:val="24"/>
          <w:szCs w:val="24"/>
        </w:rPr>
      </w:pPr>
    </w:p>
    <w:p w:rsidR="00AE10E3" w:rsidRDefault="00AE10E3" w:rsidP="00AE10E3">
      <w:pPr>
        <w:pStyle w:val="Nadpis6"/>
        <w:spacing w:line="240" w:lineRule="auto"/>
        <w:jc w:val="left"/>
      </w:pPr>
      <w:bookmarkStart w:id="9" w:name="_Toc468343064"/>
      <w:r>
        <w:t>Znalosť dokumentu Dohovor o právach dieťaťa</w:t>
      </w:r>
      <w:bookmarkEnd w:id="9"/>
    </w:p>
    <w:p w:rsidR="00AE10E3" w:rsidRDefault="00AE10E3" w:rsidP="00AE10E3">
      <w:pPr>
        <w:pStyle w:val="Normlnywebov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Základným a komplexným dokumentom pojednávajúcim o právach dieťaťa je medzinárodne uznávaný dokument Dohovor o právach dieťaťa. Dohovor zahŕňa garancie práv dieťaťa, a to ako základných občianskych práv a slobôd, tak aj hospodárskych, sociálnych a kultúrnych práv. Spája teda v sebe ochranu práv dieťaťa. Dohovor je založený na 4 základných princípoch: zákaz diskriminácie, záujem dieťaťa ako p</w:t>
      </w:r>
      <w:r w:rsidR="00786335">
        <w:rPr>
          <w:rFonts w:ascii="Times New Roman" w:hAnsi="Times New Roman"/>
          <w:i/>
          <w:color w:val="auto"/>
          <w:sz w:val="24"/>
          <w:szCs w:val="24"/>
        </w:rPr>
        <w:t xml:space="preserve">rvoradé hľadisko pri 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činnosti týkajúcej sa detí, prirodzené právo na život, rešpektovanie práva dieťaťa na vlastný názor. </w:t>
      </w:r>
    </w:p>
    <w:p w:rsidR="00AE10E3" w:rsidRDefault="00AE10E3" w:rsidP="00006864">
      <w:pPr>
        <w:pStyle w:val="Zarkazkladnhotextu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Znalosť dokumentu o právach dieťaťa potvrdila tretina oslovených (34,8%). Presný názov </w:t>
      </w:r>
      <w:r>
        <w:rPr>
          <w:b/>
          <w:bCs/>
          <w:sz w:val="24"/>
          <w:szCs w:val="24"/>
        </w:rPr>
        <w:t>Dohovor o právach dieťaťa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uviedlo</w:t>
      </w:r>
      <w:r>
        <w:rPr>
          <w:b/>
          <w:sz w:val="24"/>
          <w:szCs w:val="24"/>
        </w:rPr>
        <w:t xml:space="preserve"> 27,9% žiakov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1,1% neuviedlo konkrétny názov  a 5,6% označilo iný dokument</w:t>
      </w:r>
      <w:r>
        <w:rPr>
          <w:sz w:val="24"/>
          <w:szCs w:val="24"/>
        </w:rPr>
        <w:t xml:space="preserve">. </w:t>
      </w:r>
    </w:p>
    <w:p w:rsidR="00AE10E3" w:rsidRDefault="00AE10E3" w:rsidP="00AE10E3">
      <w:pPr>
        <w:pStyle w:val="Zarkazkladnhotextu2"/>
        <w:spacing w:line="240" w:lineRule="auto"/>
        <w:ind w:left="0"/>
        <w:jc w:val="both"/>
        <w:rPr>
          <w:b/>
        </w:rPr>
      </w:pPr>
      <w:r>
        <w:rPr>
          <w:b/>
        </w:rPr>
        <w:t>Graf č. 2</w:t>
      </w:r>
      <w:r>
        <w:rPr>
          <w:b/>
          <w:color w:val="FF0000"/>
        </w:rPr>
        <w:t xml:space="preserve">                               </w:t>
      </w:r>
    </w:p>
    <w:p w:rsidR="00AE10E3" w:rsidRDefault="00AE10E3" w:rsidP="00AE10E3">
      <w:pPr>
        <w:pStyle w:val="Zarkazkladnhotextu2"/>
        <w:spacing w:line="240" w:lineRule="auto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sk-SK"/>
        </w:rPr>
        <w:drawing>
          <wp:inline distT="0" distB="0" distL="0" distR="0">
            <wp:extent cx="5364480" cy="1021080"/>
            <wp:effectExtent l="0" t="0" r="0" b="0"/>
            <wp:docPr id="8" name="Graf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10E3" w:rsidRDefault="00AE10E3" w:rsidP="00AE10E3">
      <w:pPr>
        <w:pStyle w:val="Zarkazkladnhotextu2"/>
        <w:spacing w:after="0" w:line="240" w:lineRule="auto"/>
        <w:ind w:left="0"/>
        <w:jc w:val="both"/>
        <w:rPr>
          <w:sz w:val="24"/>
          <w:szCs w:val="24"/>
        </w:rPr>
      </w:pPr>
    </w:p>
    <w:p w:rsidR="00AE10E3" w:rsidRDefault="00AE10E3" w:rsidP="00654156">
      <w:pPr>
        <w:pStyle w:val="Zarkazkladnhotextu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Správny názov dokumentu, v ktorom je uvedený úplný popis práv dieťaťa vedelo uviesť viac </w:t>
      </w:r>
      <w:r w:rsidR="0044417C">
        <w:rPr>
          <w:sz w:val="24"/>
          <w:szCs w:val="24"/>
        </w:rPr>
        <w:t xml:space="preserve">dievčat ako chlapcov </w:t>
      </w:r>
      <w:r>
        <w:rPr>
          <w:sz w:val="24"/>
          <w:szCs w:val="24"/>
        </w:rPr>
        <w:t xml:space="preserve">, ktoré zároveň častejšie uvádzali aj </w:t>
      </w:r>
      <w:r w:rsidR="00CB1291">
        <w:rPr>
          <w:sz w:val="24"/>
          <w:szCs w:val="24"/>
        </w:rPr>
        <w:t>iný názov</w:t>
      </w:r>
      <w:r>
        <w:rPr>
          <w:sz w:val="24"/>
          <w:szCs w:val="24"/>
        </w:rPr>
        <w:t>. Pritom v oboch súboroch výrazne prevažuje neznalosť názvu dokumentu. Až 68,8% mužov a 61,7% žien nepozná základný dokument o právach dieťaťa. Uvedené výsledky sú alarmujúce. Sledovaním vedomostí vo vzťahu k ročníku štúdia sa zistilo, že najviac poznatkov deklarovali žiaci 8.ročníka základnej školy, kde správny názov dokumentu uvi</w:t>
      </w:r>
      <w:r w:rsidR="0044417C">
        <w:rPr>
          <w:sz w:val="24"/>
          <w:szCs w:val="24"/>
        </w:rPr>
        <w:t>edla  tretina oslovených</w:t>
      </w:r>
      <w:r>
        <w:rPr>
          <w:sz w:val="24"/>
          <w:szCs w:val="24"/>
        </w:rPr>
        <w:t>, najmenej z 9.ročníka základnej školy a z 1.ročníka strednej šk</w:t>
      </w:r>
      <w:r w:rsidR="0044417C">
        <w:rPr>
          <w:sz w:val="24"/>
          <w:szCs w:val="24"/>
        </w:rPr>
        <w:t>oly</w:t>
      </w:r>
      <w:r>
        <w:rPr>
          <w:sz w:val="24"/>
          <w:szCs w:val="24"/>
        </w:rPr>
        <w:t>. Títo zároveň v najvyššom počte prezentovali nezn</w:t>
      </w:r>
      <w:r w:rsidR="00E40FA3">
        <w:rPr>
          <w:sz w:val="24"/>
          <w:szCs w:val="24"/>
        </w:rPr>
        <w:t xml:space="preserve">alosť. </w:t>
      </w:r>
    </w:p>
    <w:p w:rsidR="00AE10E3" w:rsidRDefault="00AE10E3" w:rsidP="00AE10E3">
      <w:pPr>
        <w:pStyle w:val="Zkladntext"/>
        <w:jc w:val="both"/>
        <w:rPr>
          <w:b/>
          <w:sz w:val="20"/>
        </w:rPr>
      </w:pPr>
      <w:r>
        <w:rPr>
          <w:b/>
          <w:sz w:val="20"/>
        </w:rPr>
        <w:t xml:space="preserve">Tabuľka č. 2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6"/>
        <w:gridCol w:w="858"/>
        <w:gridCol w:w="855"/>
        <w:gridCol w:w="860"/>
        <w:gridCol w:w="860"/>
        <w:gridCol w:w="942"/>
        <w:gridCol w:w="941"/>
      </w:tblGrid>
      <w:tr w:rsidR="00AE10E3" w:rsidTr="00AE10E3">
        <w:trPr>
          <w:trHeight w:val="324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Znalosť Dohovoru o právach dieťaťa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7.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8.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9.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3.</w:t>
            </w:r>
          </w:p>
        </w:tc>
      </w:tr>
      <w:tr w:rsidR="00AE10E3" w:rsidTr="00AE10E3">
        <w:trPr>
          <w:trHeight w:val="132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áno, poznám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30,2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Pr="00786335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 w:rsidRPr="00786335">
              <w:rPr>
                <w:snapToGrid w:val="0"/>
                <w:sz w:val="22"/>
                <w:szCs w:val="22"/>
                <w:lang w:eastAsia="cs-CZ"/>
              </w:rPr>
              <w:t>35,9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22,5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22,5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26,7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33,3</w:t>
            </w:r>
          </w:p>
        </w:tc>
      </w:tr>
      <w:tr w:rsidR="00AE10E3" w:rsidTr="00AE10E3">
        <w:trPr>
          <w:trHeight w:val="132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nie, nepoznám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57,5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70,4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72,2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68,5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63,2</w:t>
            </w:r>
          </w:p>
        </w:tc>
      </w:tr>
    </w:tbl>
    <w:p w:rsidR="00AE10E3" w:rsidRDefault="00AE10E3" w:rsidP="00AE10E3">
      <w:pPr>
        <w:pStyle w:val="Zarkazkladnhotextu2"/>
        <w:spacing w:after="0" w:line="240" w:lineRule="auto"/>
        <w:ind w:left="0"/>
        <w:jc w:val="both"/>
      </w:pPr>
      <w:r>
        <w:t>Poznámka: V tabuľke sú uvedené len možnosti nepoznám dokument a poznám (uvedený správny názov)</w:t>
      </w:r>
    </w:p>
    <w:p w:rsidR="00AE10E3" w:rsidRDefault="00786335" w:rsidP="00786335">
      <w:pPr>
        <w:pStyle w:val="Zarkazkladnhotextu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Konkrétnu znalosť dokumentu</w:t>
      </w:r>
      <w:r w:rsidR="00AE10E3">
        <w:rPr>
          <w:sz w:val="24"/>
          <w:szCs w:val="24"/>
        </w:rPr>
        <w:t xml:space="preserve">  prezentovalo 37,8% žiakov </w:t>
      </w:r>
      <w:r w:rsidR="00AE10E3">
        <w:rPr>
          <w:b/>
          <w:sz w:val="24"/>
          <w:szCs w:val="24"/>
        </w:rPr>
        <w:t>základných škôl</w:t>
      </w:r>
      <w:r w:rsidR="00AE10E3">
        <w:rPr>
          <w:sz w:val="24"/>
          <w:szCs w:val="24"/>
        </w:rPr>
        <w:t xml:space="preserve"> a 31,7% žiakov </w:t>
      </w:r>
      <w:r w:rsidR="00AE10E3" w:rsidRPr="00786335">
        <w:rPr>
          <w:b/>
          <w:sz w:val="24"/>
          <w:szCs w:val="24"/>
        </w:rPr>
        <w:t>stredných škôl</w:t>
      </w:r>
      <w:r w:rsidR="00AE10E3">
        <w:rPr>
          <w:sz w:val="24"/>
          <w:szCs w:val="24"/>
        </w:rPr>
        <w:t xml:space="preserve">, pričom presný názov Dohovoru o právach dieťaťa uviedlo 312/29,0% mladších žiakov a 309/26,9% stredoškolákov. Iný názov označilo 7,7% opýtaných zo základných škôl a 3,7% </w:t>
      </w:r>
      <w:r w:rsidR="00AE10E3" w:rsidRPr="00786335">
        <w:rPr>
          <w:sz w:val="24"/>
          <w:szCs w:val="24"/>
        </w:rPr>
        <w:t>zo stredných škôl.</w:t>
      </w:r>
      <w:r w:rsidR="00AE10E3">
        <w:rPr>
          <w:sz w:val="24"/>
          <w:szCs w:val="24"/>
        </w:rPr>
        <w:t xml:space="preserve">  Celkovo výsledky potvrdili prevahu vedomostí o dokumentoch venujúcich sa  právam dieťaťa a ľudským právam u mladších žiakov, žiakov základných škôl. Je zrejmé, že na tomto stupni vzdelania dochádza vo vzdelávaní k orientácii na základné dokumenty o právach dieťaťa a ľudských právach, zatiaľ čo na vyššom stupni sa už v rámci výučby preberajú špecifické </w:t>
      </w:r>
      <w:proofErr w:type="spellStart"/>
      <w:r w:rsidR="00AE10E3">
        <w:rPr>
          <w:sz w:val="24"/>
          <w:szCs w:val="24"/>
        </w:rPr>
        <w:t>ľudskoprávne</w:t>
      </w:r>
      <w:proofErr w:type="spellEnd"/>
      <w:r w:rsidR="00AE10E3">
        <w:rPr>
          <w:sz w:val="24"/>
          <w:szCs w:val="24"/>
        </w:rPr>
        <w:t xml:space="preserve"> témy. Graf zobrazuje všeobecnú znalosť/neznalosť dokumentov o ľudských právach podľa typu navštevovanej školy.</w:t>
      </w:r>
    </w:p>
    <w:p w:rsidR="00AE10E3" w:rsidRDefault="00AE10E3" w:rsidP="00AE10E3">
      <w:pPr>
        <w:pStyle w:val="Zarkazkladnhotextu2"/>
        <w:spacing w:after="0" w:line="240" w:lineRule="auto"/>
        <w:ind w:left="0"/>
        <w:jc w:val="both"/>
        <w:rPr>
          <w:b/>
        </w:rPr>
      </w:pPr>
      <w:r>
        <w:rPr>
          <w:b/>
        </w:rPr>
        <w:t>Graf č. 3</w:t>
      </w:r>
    </w:p>
    <w:p w:rsidR="00AE10E3" w:rsidRDefault="00AE10E3" w:rsidP="00AE10E3">
      <w:pPr>
        <w:pStyle w:val="Zarkazkladnhotextu2"/>
        <w:spacing w:line="240" w:lineRule="auto"/>
        <w:ind w:left="0"/>
        <w:jc w:val="both"/>
        <w:rPr>
          <w:color w:val="FF0000"/>
          <w:sz w:val="24"/>
          <w:szCs w:val="24"/>
          <w:u w:val="single"/>
        </w:rPr>
      </w:pPr>
      <w:r>
        <w:rPr>
          <w:noProof/>
          <w:color w:val="FF0000"/>
          <w:sz w:val="24"/>
          <w:szCs w:val="24"/>
          <w:lang w:eastAsia="sk-SK"/>
        </w:rPr>
        <w:drawing>
          <wp:inline distT="0" distB="0" distL="0" distR="0">
            <wp:extent cx="5814060" cy="1767840"/>
            <wp:effectExtent l="0" t="0" r="0" b="0"/>
            <wp:docPr id="10" name="Gra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10E3" w:rsidRDefault="00AE10E3" w:rsidP="00AE10E3">
      <w:pPr>
        <w:pStyle w:val="Zarkazkladnhotextu2"/>
        <w:spacing w:after="0" w:line="240" w:lineRule="auto"/>
        <w:ind w:left="0"/>
        <w:jc w:val="both"/>
        <w:rPr>
          <w:color w:val="FF0000"/>
          <w:sz w:val="24"/>
          <w:szCs w:val="24"/>
        </w:rPr>
      </w:pPr>
    </w:p>
    <w:p w:rsidR="00AE10E3" w:rsidRDefault="00786335" w:rsidP="00786335">
      <w:pPr>
        <w:pStyle w:val="Zarkazkladnhotextu2"/>
        <w:spacing w:line="240" w:lineRule="auto"/>
        <w:ind w:left="0"/>
        <w:jc w:val="both"/>
        <w:rPr>
          <w:b/>
          <w:color w:val="FF0000"/>
        </w:rPr>
      </w:pPr>
      <w:r>
        <w:rPr>
          <w:sz w:val="24"/>
          <w:szCs w:val="24"/>
        </w:rPr>
        <w:t xml:space="preserve"> S</w:t>
      </w:r>
      <w:r w:rsidR="00AE10E3">
        <w:rPr>
          <w:sz w:val="24"/>
          <w:szCs w:val="24"/>
        </w:rPr>
        <w:t> výškou vzdelania matky  stúpa percento žiakov so znalosťou konkrétneho dokumentu o právach dieťaťa. A tak až takmer tretina žiakov s rodičmi s vysokoškolským vzdelaním označila, že pozná názov dokumentu popisujúceho práva dieťaťa, pričom presný názov uviedlo okolo 30% opýtaných (vysokoškolské: matka 29,6%, otec 30,7%). V prípade rodičov  s najnižším vzdelaním, základné vzdelanie, to bolo len okolo 14%.  Zaujímavá je skutočnosť, že správny názov dokumentu -  Dohovor o právach dieťaťa označilo aj približne 30% žiakov rodičov s neúplným stredoškolským vzdelaním. Je teda zrejmé, že vedomosti získané v škole tvoria významný základ poznatkov pre život</w:t>
      </w:r>
      <w:r>
        <w:rPr>
          <w:sz w:val="24"/>
          <w:szCs w:val="24"/>
        </w:rPr>
        <w:t xml:space="preserve">. </w:t>
      </w:r>
      <w:r w:rsidR="00AE10E3">
        <w:rPr>
          <w:sz w:val="24"/>
          <w:szCs w:val="24"/>
        </w:rPr>
        <w:t xml:space="preserve"> </w:t>
      </w:r>
    </w:p>
    <w:p w:rsidR="00AE10E3" w:rsidRDefault="00AE10E3" w:rsidP="00AE10E3">
      <w:pPr>
        <w:pStyle w:val="Zarkazkladnhotextu2"/>
        <w:spacing w:after="0" w:line="240" w:lineRule="auto"/>
        <w:ind w:left="0"/>
        <w:jc w:val="both"/>
        <w:rPr>
          <w:b/>
        </w:rPr>
      </w:pPr>
      <w:r>
        <w:rPr>
          <w:b/>
        </w:rPr>
        <w:t>Graf č. 4</w:t>
      </w:r>
    </w:p>
    <w:p w:rsidR="00AE10E3" w:rsidRDefault="00AE10E3" w:rsidP="00AE10E3">
      <w:pPr>
        <w:pStyle w:val="Zarkazkladnhotextu2"/>
        <w:spacing w:line="240" w:lineRule="auto"/>
        <w:ind w:left="0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sk-SK"/>
        </w:rPr>
        <w:drawing>
          <wp:inline distT="0" distB="0" distL="0" distR="0">
            <wp:extent cx="5730240" cy="1569720"/>
            <wp:effectExtent l="0" t="0" r="0" b="0"/>
            <wp:docPr id="11" name="Graf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10E3" w:rsidRDefault="00AE10E3" w:rsidP="00AE10E3">
      <w:pPr>
        <w:pStyle w:val="Zarkazkladnhotextu2"/>
        <w:spacing w:line="240" w:lineRule="auto"/>
        <w:ind w:left="0"/>
        <w:jc w:val="both"/>
        <w:rPr>
          <w:b/>
        </w:rPr>
      </w:pPr>
      <w:r>
        <w:rPr>
          <w:b/>
        </w:rPr>
        <w:t>Graf č. 5</w:t>
      </w:r>
    </w:p>
    <w:p w:rsidR="00AE10E3" w:rsidRDefault="00AE10E3" w:rsidP="00AE10E3">
      <w:pPr>
        <w:pStyle w:val="Zarkazkladnhotextu2"/>
        <w:spacing w:line="240" w:lineRule="auto"/>
        <w:ind w:left="0"/>
        <w:jc w:val="both"/>
        <w:rPr>
          <w:b/>
          <w:color w:val="FF0000"/>
        </w:rPr>
      </w:pPr>
      <w:r>
        <w:rPr>
          <w:noProof/>
          <w:color w:val="FF0000"/>
          <w:sz w:val="24"/>
          <w:szCs w:val="24"/>
          <w:lang w:eastAsia="sk-SK"/>
        </w:rPr>
        <w:drawing>
          <wp:inline distT="0" distB="0" distL="0" distR="0">
            <wp:extent cx="5730240" cy="1485900"/>
            <wp:effectExtent l="0" t="0" r="0" b="0"/>
            <wp:docPr id="12" name="Graf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10E3" w:rsidRDefault="00AE10E3" w:rsidP="00654156">
      <w:pPr>
        <w:pStyle w:val="Zarkazkladnhotextu2"/>
        <w:spacing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Na základe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porovnania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znalostí </w:t>
      </w:r>
      <w:r>
        <w:rPr>
          <w:sz w:val="24"/>
          <w:szCs w:val="24"/>
        </w:rPr>
        <w:t xml:space="preserve">dokumentu obsahujúceho úplný popis práv dieťaťa u skúmaných žiakov  </w:t>
      </w:r>
      <w:r>
        <w:rPr>
          <w:b/>
          <w:sz w:val="24"/>
          <w:szCs w:val="24"/>
        </w:rPr>
        <w:t xml:space="preserve">za sledované roky </w:t>
      </w:r>
      <w:r>
        <w:rPr>
          <w:sz w:val="24"/>
          <w:szCs w:val="24"/>
        </w:rPr>
        <w:t>možno konštatovať, že zatiaľ čo do roku 2009 zaznamenávame neustály pokles vedomostí, v roku 2012 sa úrov</w:t>
      </w:r>
      <w:r w:rsidR="00654156">
        <w:rPr>
          <w:sz w:val="24"/>
          <w:szCs w:val="24"/>
        </w:rPr>
        <w:t>eň znalostí</w:t>
      </w:r>
      <w:r>
        <w:rPr>
          <w:sz w:val="24"/>
          <w:szCs w:val="24"/>
        </w:rPr>
        <w:t xml:space="preserve"> dokumentu popisujúceho práva dieťaťa výrazne zvýšila.  V súčasnosti je zrejmý opätovný nárast vedom</w:t>
      </w:r>
      <w:r w:rsidR="00654156">
        <w:rPr>
          <w:sz w:val="24"/>
          <w:szCs w:val="24"/>
        </w:rPr>
        <w:t xml:space="preserve">ostí. Vysoké percento </w:t>
      </w:r>
      <w:r>
        <w:rPr>
          <w:sz w:val="24"/>
          <w:szCs w:val="24"/>
        </w:rPr>
        <w:t>žiakov základných a stredných škôl n</w:t>
      </w:r>
      <w:r w:rsidR="00654156">
        <w:rPr>
          <w:sz w:val="24"/>
          <w:szCs w:val="24"/>
        </w:rPr>
        <w:t>edostatočne informovaných</w:t>
      </w:r>
      <w:r>
        <w:rPr>
          <w:sz w:val="24"/>
          <w:szCs w:val="24"/>
        </w:rPr>
        <w:t xml:space="preserve"> o základnom dokumente  práv dieťaťa  však súčasne naznačuje, že v danej oblasti je  ešte  veľa rezerv.</w:t>
      </w:r>
    </w:p>
    <w:p w:rsidR="00AE10E3" w:rsidRDefault="00AE10E3" w:rsidP="00AE10E3">
      <w:pPr>
        <w:pStyle w:val="Zkladntext"/>
        <w:jc w:val="both"/>
        <w:rPr>
          <w:b/>
          <w:sz w:val="20"/>
        </w:rPr>
      </w:pPr>
      <w:r>
        <w:rPr>
          <w:b/>
          <w:sz w:val="20"/>
        </w:rPr>
        <w:t>Tabuľka č. 3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5"/>
        <w:gridCol w:w="1132"/>
        <w:gridCol w:w="851"/>
        <w:gridCol w:w="849"/>
        <w:gridCol w:w="851"/>
        <w:gridCol w:w="849"/>
        <w:gridCol w:w="1025"/>
      </w:tblGrid>
      <w:tr w:rsidR="00AE10E3" w:rsidTr="00AE10E3">
        <w:trPr>
          <w:cantSplit/>
          <w:trHeight w:val="260"/>
        </w:trPr>
        <w:tc>
          <w:tcPr>
            <w:tcW w:w="19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 w:rsidP="00E73D32">
            <w:pPr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  <w:t>Znalosť dokumentu Dohovor o právach dieťaťa</w:t>
            </w:r>
          </w:p>
        </w:tc>
        <w:tc>
          <w:tcPr>
            <w:tcW w:w="304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  <w:t>%</w:t>
            </w:r>
          </w:p>
        </w:tc>
      </w:tr>
      <w:tr w:rsidR="00AE10E3" w:rsidTr="00AE10E3">
        <w:trPr>
          <w:cantSplit/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10E3" w:rsidRDefault="00AE10E3">
            <w:pPr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  <w:t>2006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  <w:t>2007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  <w:t>2009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  <w:t>2012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  <w:t>2014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eastAsia="cs-CZ"/>
              </w:rPr>
              <w:t>2016</w:t>
            </w:r>
          </w:p>
        </w:tc>
      </w:tr>
      <w:tr w:rsidR="00AE10E3" w:rsidTr="00AE10E3">
        <w:trPr>
          <w:trHeight w:val="260"/>
        </w:trPr>
        <w:tc>
          <w:tcPr>
            <w:tcW w:w="1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áno, poznám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36,8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38,4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24,8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31,3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28,9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34,8</w:t>
            </w:r>
          </w:p>
        </w:tc>
      </w:tr>
      <w:tr w:rsidR="00AE10E3" w:rsidTr="00AE10E3">
        <w:trPr>
          <w:trHeight w:val="260"/>
        </w:trPr>
        <w:tc>
          <w:tcPr>
            <w:tcW w:w="1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áno, nepoznám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63,2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61,6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75,2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68,7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71,1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color w:val="000000"/>
                <w:sz w:val="22"/>
                <w:szCs w:val="22"/>
                <w:lang w:eastAsia="cs-CZ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cs-CZ"/>
              </w:rPr>
              <w:t>65,2</w:t>
            </w:r>
          </w:p>
        </w:tc>
      </w:tr>
    </w:tbl>
    <w:p w:rsidR="00CF68CD" w:rsidRDefault="00CF68CD" w:rsidP="00AE10E3">
      <w:pPr>
        <w:pStyle w:val="Nadpis6"/>
        <w:spacing w:line="240" w:lineRule="auto"/>
        <w:jc w:val="left"/>
      </w:pPr>
      <w:bookmarkStart w:id="10" w:name="_Toc468343065"/>
    </w:p>
    <w:p w:rsidR="00CF68CD" w:rsidRDefault="00CF68CD" w:rsidP="00AE10E3">
      <w:pPr>
        <w:pStyle w:val="Nadpis6"/>
        <w:spacing w:line="240" w:lineRule="auto"/>
        <w:jc w:val="left"/>
      </w:pPr>
    </w:p>
    <w:p w:rsidR="00AE10E3" w:rsidRDefault="00AE10E3" w:rsidP="00AE10E3">
      <w:pPr>
        <w:pStyle w:val="Nadpis6"/>
        <w:spacing w:line="240" w:lineRule="auto"/>
        <w:jc w:val="left"/>
      </w:pPr>
      <w:r>
        <w:t>Znalosť iných dokumentov venujúcich sa ľudským právam a právam dieťaťa</w:t>
      </w:r>
      <w:bookmarkEnd w:id="10"/>
    </w:p>
    <w:p w:rsidR="00AE10E3" w:rsidRDefault="00AE10E3" w:rsidP="00654156">
      <w:pPr>
        <w:pStyle w:val="Zarkazkladnhotextu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položenú otázku sme získali </w:t>
      </w:r>
      <w:r>
        <w:rPr>
          <w:b/>
          <w:sz w:val="24"/>
          <w:szCs w:val="24"/>
        </w:rPr>
        <w:t>1503 odpovedí</w:t>
      </w:r>
      <w:r>
        <w:rPr>
          <w:sz w:val="24"/>
          <w:szCs w:val="24"/>
        </w:rPr>
        <w:t xml:space="preserve">. Takmer polovica oslovených  </w:t>
      </w:r>
      <w:r>
        <w:rPr>
          <w:b/>
          <w:sz w:val="24"/>
          <w:szCs w:val="24"/>
        </w:rPr>
        <w:t>(45,1%)</w:t>
      </w:r>
      <w:r>
        <w:rPr>
          <w:sz w:val="24"/>
          <w:szCs w:val="24"/>
        </w:rPr>
        <w:t xml:space="preserve"> však uviedla, že ďalšie dokumenty o ľudských právach </w:t>
      </w:r>
      <w:r>
        <w:rPr>
          <w:b/>
          <w:sz w:val="24"/>
          <w:szCs w:val="24"/>
        </w:rPr>
        <w:t>nepozná</w:t>
      </w:r>
      <w:r>
        <w:rPr>
          <w:sz w:val="24"/>
          <w:szCs w:val="24"/>
        </w:rPr>
        <w:t xml:space="preserve">. </w:t>
      </w:r>
      <w:r w:rsidR="00CF68CD">
        <w:rPr>
          <w:b/>
          <w:sz w:val="24"/>
          <w:szCs w:val="24"/>
        </w:rPr>
        <w:t xml:space="preserve">Tretina </w:t>
      </w:r>
      <w:r w:rsidR="00654156">
        <w:rPr>
          <w:sz w:val="24"/>
          <w:szCs w:val="24"/>
        </w:rPr>
        <w:t xml:space="preserve"> odpovedí zahŕňali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všeobecné medzinárodné dokumenty a zmluvy o ľudských právach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11,6%</w:t>
      </w:r>
      <w:r>
        <w:rPr>
          <w:sz w:val="24"/>
          <w:szCs w:val="24"/>
        </w:rPr>
        <w:t xml:space="preserve"> konkretizovalo </w:t>
      </w:r>
      <w:r>
        <w:rPr>
          <w:b/>
          <w:sz w:val="24"/>
          <w:szCs w:val="24"/>
        </w:rPr>
        <w:t>dokumenty z oblasti legislatívy</w:t>
      </w:r>
      <w:r w:rsidR="00654156">
        <w:rPr>
          <w:sz w:val="24"/>
          <w:szCs w:val="24"/>
        </w:rPr>
        <w:t xml:space="preserve"> ako je Ústava SR a pod. a 3,1% označi</w:t>
      </w:r>
      <w:r>
        <w:rPr>
          <w:sz w:val="24"/>
          <w:szCs w:val="24"/>
        </w:rPr>
        <w:t xml:space="preserve">lo </w:t>
      </w:r>
      <w:r>
        <w:rPr>
          <w:b/>
          <w:sz w:val="24"/>
          <w:szCs w:val="24"/>
        </w:rPr>
        <w:t>školský poriadok</w:t>
      </w:r>
      <w:r>
        <w:rPr>
          <w:sz w:val="24"/>
          <w:szCs w:val="24"/>
        </w:rPr>
        <w:t xml:space="preserve">. </w:t>
      </w:r>
    </w:p>
    <w:p w:rsidR="00AE10E3" w:rsidRDefault="00AE10E3" w:rsidP="00AE10E3">
      <w:pPr>
        <w:pStyle w:val="Zarkazkladnhotextu2"/>
        <w:tabs>
          <w:tab w:val="left" w:pos="5025"/>
        </w:tabs>
        <w:spacing w:after="0" w:line="240" w:lineRule="auto"/>
        <w:ind w:left="0"/>
        <w:jc w:val="both"/>
        <w:rPr>
          <w:b/>
        </w:rPr>
      </w:pPr>
      <w:r>
        <w:rPr>
          <w:b/>
        </w:rPr>
        <w:t>Graf  č. 6</w:t>
      </w:r>
      <w:r>
        <w:rPr>
          <w:b/>
        </w:rPr>
        <w:tab/>
      </w:r>
    </w:p>
    <w:p w:rsidR="00AE10E3" w:rsidRDefault="00AE10E3" w:rsidP="00AE10E3">
      <w:pPr>
        <w:tabs>
          <w:tab w:val="left" w:pos="945"/>
        </w:tabs>
      </w:pPr>
      <w:r>
        <w:rPr>
          <w:noProof/>
          <w:lang w:eastAsia="sk-SK"/>
        </w:rPr>
        <w:drawing>
          <wp:inline distT="0" distB="0" distL="0" distR="0">
            <wp:extent cx="5715000" cy="1927860"/>
            <wp:effectExtent l="0" t="0" r="0" b="0"/>
            <wp:docPr id="13" name="Graf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10E3" w:rsidRDefault="00AE10E3" w:rsidP="00AE10E3">
      <w:pPr>
        <w:pStyle w:val="Zkladntext"/>
        <w:jc w:val="both"/>
        <w:rPr>
          <w:sz w:val="20"/>
        </w:rPr>
      </w:pPr>
    </w:p>
    <w:p w:rsidR="00AE10E3" w:rsidRDefault="00AE10E3" w:rsidP="00AE10E3">
      <w:pPr>
        <w:pStyle w:val="Zkladntext"/>
        <w:jc w:val="both"/>
        <w:rPr>
          <w:sz w:val="20"/>
        </w:rPr>
      </w:pPr>
      <w:r>
        <w:rPr>
          <w:sz w:val="20"/>
        </w:rPr>
        <w:t>Poznámka: Súčet odpovedí presahuje 100 %, možnosť uviesť viac odpovedí súčasne</w:t>
      </w:r>
    </w:p>
    <w:p w:rsidR="00AE10E3" w:rsidRDefault="00AE10E3" w:rsidP="00AE10E3">
      <w:pPr>
        <w:pStyle w:val="Zarkazkladnhotextu2"/>
        <w:spacing w:line="240" w:lineRule="auto"/>
        <w:ind w:left="0"/>
        <w:jc w:val="both"/>
        <w:rPr>
          <w:color w:val="000000"/>
          <w:sz w:val="24"/>
          <w:szCs w:val="24"/>
        </w:rPr>
      </w:pPr>
    </w:p>
    <w:p w:rsidR="00AE10E3" w:rsidRDefault="00AE10E3" w:rsidP="00AE10E3">
      <w:pPr>
        <w:pStyle w:val="Zarkazkladnhotextu2"/>
        <w:spacing w:after="0" w:line="240" w:lineRule="auto"/>
        <w:ind w:left="0"/>
        <w:jc w:val="both"/>
        <w:rPr>
          <w:sz w:val="24"/>
          <w:szCs w:val="24"/>
        </w:rPr>
      </w:pPr>
      <w:r w:rsidRPr="00CF68CD">
        <w:rPr>
          <w:sz w:val="24"/>
          <w:szCs w:val="24"/>
        </w:rPr>
        <w:t>Ďalšie dokumenty zaoberajúce sa všeobecnými ľudskými právami  alebo konkrétne právami detí  nevedeli častejšie uviesť chlapci ako d</w:t>
      </w:r>
      <w:r w:rsidR="00CF68CD">
        <w:rPr>
          <w:sz w:val="24"/>
          <w:szCs w:val="24"/>
        </w:rPr>
        <w:t>ievčatá</w:t>
      </w:r>
      <w:r w:rsidRPr="00CF68CD">
        <w:rPr>
          <w:sz w:val="24"/>
          <w:szCs w:val="24"/>
        </w:rPr>
        <w:t>, najmä žiaci 1. ročníka strednej školy a 9. ročníka základnej školy  a zatiaľ čo na nižšom stupni vzdelávania zaznamenávame stúpajúci trend so zvyšovaním veku respondentov, u stredoškolákov</w:t>
      </w:r>
      <w:r w:rsidR="00CF68CD">
        <w:rPr>
          <w:sz w:val="24"/>
          <w:szCs w:val="24"/>
        </w:rPr>
        <w:t xml:space="preserve"> je situácia opačná</w:t>
      </w:r>
      <w:r w:rsidRPr="00CF68CD">
        <w:rPr>
          <w:sz w:val="24"/>
          <w:szCs w:val="24"/>
        </w:rPr>
        <w:t>. Všeobecne však možno konštatovať, že viac poznatkov o ďalších dokumentoch venujúcich sa ľudským právam a právam dieťaťa (okrem Dohovoru o právach dieťaťa ) prezentovali žiaci základných škôl. Diferenciácie podľa druhu strednej školy ukázali, že širšie v</w:t>
      </w:r>
      <w:r w:rsidR="00CF68CD">
        <w:rPr>
          <w:sz w:val="24"/>
          <w:szCs w:val="24"/>
        </w:rPr>
        <w:t>edomosti vykazujú gymnazisti</w:t>
      </w:r>
      <w:r w:rsidRPr="00CF68CD">
        <w:rPr>
          <w:sz w:val="24"/>
          <w:szCs w:val="24"/>
        </w:rPr>
        <w:t xml:space="preserve">, ktorí najčastejšie zo všetkých uvádzali ako ďalšie </w:t>
      </w:r>
      <w:proofErr w:type="spellStart"/>
      <w:r w:rsidRPr="00CF68CD">
        <w:rPr>
          <w:sz w:val="24"/>
          <w:szCs w:val="24"/>
        </w:rPr>
        <w:t>ľudskopávne</w:t>
      </w:r>
      <w:proofErr w:type="spellEnd"/>
      <w:r w:rsidRPr="00CF68CD">
        <w:rPr>
          <w:sz w:val="24"/>
          <w:szCs w:val="24"/>
        </w:rPr>
        <w:t xml:space="preserve"> dokumenty, všeobecné dokumenty SR </w:t>
      </w:r>
      <w:r w:rsidR="00CF68CD">
        <w:rPr>
          <w:sz w:val="24"/>
          <w:szCs w:val="24"/>
        </w:rPr>
        <w:t>a medzinárodné dokumenty</w:t>
      </w:r>
      <w:r w:rsidRPr="00CF68CD">
        <w:rPr>
          <w:sz w:val="24"/>
          <w:szCs w:val="24"/>
        </w:rPr>
        <w:t>, ale aj špecifi</w:t>
      </w:r>
      <w:r w:rsidR="00CF68CD">
        <w:rPr>
          <w:sz w:val="24"/>
          <w:szCs w:val="24"/>
        </w:rPr>
        <w:t>cké dokumenty rôznych tém</w:t>
      </w:r>
      <w:r w:rsidRPr="00CF68CD">
        <w:rPr>
          <w:sz w:val="24"/>
          <w:szCs w:val="24"/>
        </w:rPr>
        <w:t>. Naproti tomu žiaci odbo</w:t>
      </w:r>
      <w:r w:rsidR="00654156">
        <w:rPr>
          <w:sz w:val="24"/>
          <w:szCs w:val="24"/>
        </w:rPr>
        <w:t>rných škôl</w:t>
      </w:r>
      <w:r w:rsidRPr="00CF68CD">
        <w:rPr>
          <w:sz w:val="24"/>
          <w:szCs w:val="24"/>
        </w:rPr>
        <w:t xml:space="preserve"> prezentovali dokumenty legislatívy a zároveň</w:t>
      </w:r>
      <w:r w:rsidR="00CF68CD">
        <w:rPr>
          <w:sz w:val="24"/>
          <w:szCs w:val="24"/>
        </w:rPr>
        <w:t xml:space="preserve"> školský poriadok. </w:t>
      </w:r>
      <w:r w:rsidRPr="00CF68CD">
        <w:rPr>
          <w:sz w:val="24"/>
          <w:szCs w:val="24"/>
        </w:rPr>
        <w:t xml:space="preserve">So zvyšovaním ročníka stredoškolákov rastú ich vedomosti pri definovaní všeobecných dokumentov SR i v medzinárodnom meradle, ale aj znalosť špecifických dokumentov ku konkrétnym témam ľudských práv, na druhej strane v základných školách sú to najmladší žiaci, ktorí deklarovali najviac vedomostí z oblasti špecifických dokumentov </w:t>
      </w:r>
      <w:proofErr w:type="spellStart"/>
      <w:r w:rsidRPr="00CF68CD">
        <w:rPr>
          <w:sz w:val="24"/>
          <w:szCs w:val="24"/>
        </w:rPr>
        <w:t>ľudskoprávnych</w:t>
      </w:r>
      <w:proofErr w:type="spellEnd"/>
      <w:r w:rsidRPr="00CF68CD">
        <w:rPr>
          <w:sz w:val="24"/>
          <w:szCs w:val="24"/>
        </w:rPr>
        <w:t xml:space="preserve"> tém, ale aj dokumentov legislatívy SR. Zistené markantné rozdiely vo </w:t>
      </w:r>
      <w:r w:rsidRPr="00CF68CD">
        <w:rPr>
          <w:sz w:val="24"/>
          <w:szCs w:val="24"/>
        </w:rPr>
        <w:lastRenderedPageBreak/>
        <w:t xml:space="preserve">vedomostiach dokumentov k ľudským právam (okrem Dohovoru o právach dieťaťa) pravdepodobne súvisia s učebnými osnovami konkrétnych predmetov </w:t>
      </w:r>
      <w:r>
        <w:rPr>
          <w:sz w:val="24"/>
          <w:szCs w:val="24"/>
        </w:rPr>
        <w:t xml:space="preserve">s tematikou ľudských práv pre jednotlivé ročníky štúdia.  </w:t>
      </w:r>
    </w:p>
    <w:p w:rsidR="00AE10E3" w:rsidRDefault="00AE10E3" w:rsidP="00AE10E3">
      <w:pPr>
        <w:pStyle w:val="Zarkazkladnhotextu2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E10E3" w:rsidRDefault="00AE10E3" w:rsidP="00980346">
      <w:pPr>
        <w:pStyle w:val="Zarkazkladnhotextu2"/>
        <w:spacing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Na základe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porovnania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znalostí </w:t>
      </w:r>
      <w:r>
        <w:rPr>
          <w:sz w:val="24"/>
          <w:szCs w:val="24"/>
        </w:rPr>
        <w:t>ďalších (okrem Dohovoru o právach dieťaťa) dokumentov zaoberajúcich sa ľudskými právami a právami dieťaťa</w:t>
      </w:r>
      <w:r>
        <w:rPr>
          <w:b/>
          <w:sz w:val="24"/>
          <w:szCs w:val="24"/>
        </w:rPr>
        <w:t xml:space="preserve"> u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žiakov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základných</w:t>
      </w:r>
      <w:r>
        <w:rPr>
          <w:sz w:val="24"/>
          <w:szCs w:val="24"/>
        </w:rPr>
        <w:t xml:space="preserve"> a </w:t>
      </w:r>
      <w:r>
        <w:rPr>
          <w:b/>
          <w:sz w:val="24"/>
          <w:szCs w:val="24"/>
        </w:rPr>
        <w:t>stredných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škôl</w:t>
      </w:r>
      <w:r>
        <w:rPr>
          <w:sz w:val="24"/>
          <w:szCs w:val="24"/>
        </w:rPr>
        <w:t xml:space="preserve"> sa zistilo,  že sú to stredoškoláci, ktorí vo vyššom percente volili odpoveď neviem (SŠ 51,9%, ZŠ 44,1%). Je teda zrejmé, že práve mladší žiaci disponujú väčším objemom vedomostí z oblasti ľudských práv. Uvedená skutočnosť korešponduje s výsledkami znalostí konkrétnych definovaných ľudských práv, ktoré sú výraznejšie zastúpené u žiakov základných škôl, ako aj znalostí dokumentu komplexne popisujúceho práva dieťaťa (Dohovor o právach dieťaťa). Vo svojich odpovediach o ďalších dokumentoch venujúcich sa ľudským právam mladší žiaci častejšie uvádzali ako  všeobecné dokumenty o ľudských práva</w:t>
      </w:r>
      <w:r w:rsidR="00CF68CD">
        <w:rPr>
          <w:sz w:val="24"/>
          <w:szCs w:val="24"/>
        </w:rPr>
        <w:t>ch a zmluvy</w:t>
      </w:r>
      <w:r>
        <w:rPr>
          <w:sz w:val="24"/>
          <w:szCs w:val="24"/>
        </w:rPr>
        <w:t xml:space="preserve">, tak aj špecifické dokumenty </w:t>
      </w:r>
      <w:proofErr w:type="spellStart"/>
      <w:r>
        <w:rPr>
          <w:sz w:val="24"/>
          <w:szCs w:val="24"/>
        </w:rPr>
        <w:t>ľudskop</w:t>
      </w:r>
      <w:r w:rsidR="00CF68CD">
        <w:rPr>
          <w:sz w:val="24"/>
          <w:szCs w:val="24"/>
        </w:rPr>
        <w:t>rávnych</w:t>
      </w:r>
      <w:proofErr w:type="spellEnd"/>
      <w:r w:rsidR="00CF68CD">
        <w:rPr>
          <w:sz w:val="24"/>
          <w:szCs w:val="24"/>
        </w:rPr>
        <w:t xml:space="preserve"> tém</w:t>
      </w:r>
      <w:r>
        <w:rPr>
          <w:sz w:val="24"/>
          <w:szCs w:val="24"/>
        </w:rPr>
        <w:t>. Stredoškoláci zas vo vyššom percente označovali ško</w:t>
      </w:r>
      <w:r w:rsidR="00CF68CD">
        <w:rPr>
          <w:sz w:val="24"/>
          <w:szCs w:val="24"/>
        </w:rPr>
        <w:t>lský poriadok</w:t>
      </w:r>
      <w:r>
        <w:rPr>
          <w:sz w:val="24"/>
          <w:szCs w:val="24"/>
        </w:rPr>
        <w:t>. Dokumenty legislatívy (Ústava SR a </w:t>
      </w:r>
      <w:r w:rsidR="00980346">
        <w:rPr>
          <w:sz w:val="24"/>
          <w:szCs w:val="24"/>
        </w:rPr>
        <w:t>pod) mali rovnaké zastúpenie</w:t>
      </w:r>
      <w:r>
        <w:rPr>
          <w:sz w:val="24"/>
          <w:szCs w:val="24"/>
        </w:rPr>
        <w:t xml:space="preserve"> u mladších žiakov tak aj</w:t>
      </w:r>
      <w:r w:rsidR="00CF68CD">
        <w:rPr>
          <w:sz w:val="24"/>
          <w:szCs w:val="24"/>
        </w:rPr>
        <w:t xml:space="preserve"> u starších</w:t>
      </w:r>
      <w:r>
        <w:rPr>
          <w:sz w:val="24"/>
          <w:szCs w:val="24"/>
        </w:rPr>
        <w:t>.   </w:t>
      </w:r>
      <w:r w:rsidR="00CF68CD">
        <w:rPr>
          <w:sz w:val="24"/>
          <w:szCs w:val="24"/>
        </w:rPr>
        <w:t xml:space="preserve"> </w:t>
      </w:r>
    </w:p>
    <w:p w:rsidR="00AE10E3" w:rsidRDefault="00AE10E3" w:rsidP="00AE10E3">
      <w:pPr>
        <w:pStyle w:val="Zarkazkladnhotextu2"/>
        <w:spacing w:line="240" w:lineRule="auto"/>
        <w:ind w:left="0"/>
        <w:jc w:val="both"/>
        <w:rPr>
          <w:b/>
        </w:rPr>
      </w:pPr>
      <w:r>
        <w:rPr>
          <w:b/>
        </w:rPr>
        <w:t>Graf  č. 7</w:t>
      </w:r>
    </w:p>
    <w:p w:rsidR="00AE10E3" w:rsidRDefault="00AE10E3" w:rsidP="00980346">
      <w:pPr>
        <w:pStyle w:val="Zarkazkladnhotextu2"/>
        <w:spacing w:line="240" w:lineRule="auto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sk-SK"/>
        </w:rPr>
        <w:drawing>
          <wp:inline distT="0" distB="0" distL="0" distR="0" wp14:anchorId="6C1F12FC" wp14:editId="7F284248">
            <wp:extent cx="5669280" cy="1714500"/>
            <wp:effectExtent l="0" t="0" r="0" b="0"/>
            <wp:docPr id="14" name="Graf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80346" w:rsidRDefault="00980346" w:rsidP="00980346">
      <w:pPr>
        <w:pStyle w:val="Zarkazkladnhotextu2"/>
        <w:spacing w:line="240" w:lineRule="auto"/>
        <w:jc w:val="both"/>
        <w:rPr>
          <w:color w:val="FF0000"/>
          <w:sz w:val="24"/>
          <w:szCs w:val="24"/>
        </w:rPr>
      </w:pPr>
    </w:p>
    <w:p w:rsidR="00980346" w:rsidRDefault="00980346" w:rsidP="0098034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b/>
          <w:sz w:val="24"/>
          <w:szCs w:val="24"/>
        </w:rPr>
        <w:t>orovnaním výsledkov so zisteniami</w:t>
      </w:r>
      <w:r w:rsidR="00AE10E3">
        <w:rPr>
          <w:b/>
          <w:sz w:val="24"/>
          <w:szCs w:val="24"/>
        </w:rPr>
        <w:t xml:space="preserve">  z rokov</w:t>
      </w:r>
      <w:r>
        <w:rPr>
          <w:b/>
          <w:sz w:val="24"/>
          <w:szCs w:val="24"/>
        </w:rPr>
        <w:t xml:space="preserve"> 2006, 2007, 2009, 2012 a 2014 </w:t>
      </w:r>
      <w:r w:rsidRPr="00980346">
        <w:rPr>
          <w:sz w:val="24"/>
          <w:szCs w:val="24"/>
        </w:rPr>
        <w:t>je</w:t>
      </w:r>
      <w:r w:rsidR="00AE10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zreteľný </w:t>
      </w:r>
      <w:r w:rsidR="00AE10E3">
        <w:rPr>
          <w:sz w:val="24"/>
          <w:szCs w:val="24"/>
        </w:rPr>
        <w:t>celkovo negatívny trend vo vedomostiach  žiakov základných a stredných škôl v oblasti znalostí širších dokumentov k problematike ľu</w:t>
      </w:r>
      <w:r>
        <w:rPr>
          <w:sz w:val="24"/>
          <w:szCs w:val="24"/>
        </w:rPr>
        <w:t>dských práv</w:t>
      </w:r>
      <w:r w:rsidR="00AE10E3">
        <w:rPr>
          <w:sz w:val="24"/>
          <w:szCs w:val="24"/>
        </w:rPr>
        <w:t>. K výraznej zmene dochádza v súčasnosti, kedy prevažujú respondenti so znalosťami. Tak zatiaľ čo v predchádzajúcom období nevedelo definovať ďalšie dokumenty zaoberajúce sa všeobecnými ľudskými právami v roku 2006 33,8% respondentov, v roku 2007 38,6%</w:t>
      </w:r>
      <w:r>
        <w:rPr>
          <w:sz w:val="24"/>
          <w:szCs w:val="24"/>
        </w:rPr>
        <w:t>,  v rokoch 2009, 2012  a 2014 u</w:t>
      </w:r>
      <w:r w:rsidR="00AE10E3">
        <w:rPr>
          <w:sz w:val="24"/>
          <w:szCs w:val="24"/>
        </w:rPr>
        <w:t xml:space="preserve">ž každý druhý oslovený (rok 2009 48,7%, rok 2012 47,7%, 2014 55,2%), v súčasnom výskume zaznamenávame </w:t>
      </w:r>
      <w:r>
        <w:rPr>
          <w:sz w:val="24"/>
          <w:szCs w:val="24"/>
        </w:rPr>
        <w:t xml:space="preserve">jeho </w:t>
      </w:r>
      <w:r w:rsidR="00AE10E3">
        <w:rPr>
          <w:sz w:val="24"/>
          <w:szCs w:val="24"/>
        </w:rPr>
        <w:t xml:space="preserve">pokles. </w:t>
      </w:r>
      <w:r>
        <w:rPr>
          <w:sz w:val="24"/>
          <w:szCs w:val="24"/>
        </w:rPr>
        <w:t>Naproti tomu a</w:t>
      </w:r>
      <w:r w:rsidR="00AE10E3">
        <w:rPr>
          <w:sz w:val="24"/>
          <w:szCs w:val="24"/>
        </w:rPr>
        <w:t>ž  55% skúmaných žiakov vo svojich odpovediach konkretizovalo dokumenty so</w:t>
      </w:r>
      <w:r>
        <w:rPr>
          <w:sz w:val="24"/>
          <w:szCs w:val="24"/>
        </w:rPr>
        <w:t xml:space="preserve"> širším </w:t>
      </w:r>
      <w:proofErr w:type="spellStart"/>
      <w:r>
        <w:rPr>
          <w:sz w:val="24"/>
          <w:szCs w:val="24"/>
        </w:rPr>
        <w:t>ľudskoprávnym</w:t>
      </w:r>
      <w:proofErr w:type="spellEnd"/>
      <w:r>
        <w:rPr>
          <w:sz w:val="24"/>
          <w:szCs w:val="24"/>
        </w:rPr>
        <w:t xml:space="preserve"> záberom</w:t>
      </w:r>
      <w:r w:rsidR="00AE10E3">
        <w:rPr>
          <w:sz w:val="24"/>
          <w:szCs w:val="24"/>
        </w:rPr>
        <w:t xml:space="preserve">. </w:t>
      </w:r>
    </w:p>
    <w:p w:rsidR="00AE10E3" w:rsidRPr="00980346" w:rsidRDefault="00AE10E3" w:rsidP="00980346">
      <w:pPr>
        <w:jc w:val="both"/>
        <w:rPr>
          <w:sz w:val="24"/>
          <w:szCs w:val="24"/>
        </w:rPr>
      </w:pPr>
      <w:r>
        <w:rPr>
          <w:b/>
        </w:rPr>
        <w:t>Tabuľka č. 4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4"/>
        <w:gridCol w:w="851"/>
        <w:gridCol w:w="851"/>
        <w:gridCol w:w="849"/>
        <w:gridCol w:w="709"/>
        <w:gridCol w:w="789"/>
        <w:gridCol w:w="659"/>
      </w:tblGrid>
      <w:tr w:rsidR="00AE10E3" w:rsidTr="00AE10E3">
        <w:trPr>
          <w:cantSplit/>
          <w:trHeight w:val="261"/>
        </w:trPr>
        <w:tc>
          <w:tcPr>
            <w:tcW w:w="242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 xml:space="preserve">Znalosť ďalších dokumentov o ľudských právach v odpovediach žiakov </w:t>
            </w:r>
          </w:p>
        </w:tc>
        <w:tc>
          <w:tcPr>
            <w:tcW w:w="257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%</w:t>
            </w:r>
          </w:p>
        </w:tc>
      </w:tr>
      <w:tr w:rsidR="00AE10E3" w:rsidTr="00AE10E3">
        <w:trPr>
          <w:cantSplit/>
          <w:trHeight w:val="2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10E3" w:rsidRDefault="00AE10E3">
            <w:pPr>
              <w:rPr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2006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2007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2009</w:t>
            </w:r>
          </w:p>
        </w:tc>
        <w:tc>
          <w:tcPr>
            <w:tcW w:w="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2012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2014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2016</w:t>
            </w:r>
          </w:p>
        </w:tc>
      </w:tr>
      <w:tr w:rsidR="00AE10E3" w:rsidTr="00AE10E3">
        <w:trPr>
          <w:trHeight w:val="261"/>
        </w:trPr>
        <w:tc>
          <w:tcPr>
            <w:tcW w:w="2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áno, poznám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66,2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61,4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51,3</w:t>
            </w:r>
          </w:p>
        </w:tc>
        <w:tc>
          <w:tcPr>
            <w:tcW w:w="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52,3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44,8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54,9</w:t>
            </w:r>
          </w:p>
        </w:tc>
      </w:tr>
      <w:tr w:rsidR="00AE10E3" w:rsidTr="00AE10E3">
        <w:trPr>
          <w:trHeight w:val="261"/>
        </w:trPr>
        <w:tc>
          <w:tcPr>
            <w:tcW w:w="2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nepoznám neviem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33,8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38,6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48,7</w:t>
            </w:r>
          </w:p>
        </w:tc>
        <w:tc>
          <w:tcPr>
            <w:tcW w:w="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47,7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55,2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45,1</w:t>
            </w:r>
          </w:p>
        </w:tc>
      </w:tr>
    </w:tbl>
    <w:p w:rsidR="00AE10E3" w:rsidRDefault="00AE10E3" w:rsidP="00AE10E3">
      <w:pPr>
        <w:pStyle w:val="Nadpis6"/>
        <w:spacing w:line="240" w:lineRule="auto"/>
        <w:jc w:val="left"/>
        <w:rPr>
          <w:color w:val="auto"/>
        </w:rPr>
      </w:pPr>
    </w:p>
    <w:p w:rsidR="00AE10E3" w:rsidRDefault="00AE10E3" w:rsidP="00AE10E3">
      <w:pPr>
        <w:pStyle w:val="Nadpis6"/>
        <w:spacing w:line="240" w:lineRule="auto"/>
        <w:jc w:val="left"/>
        <w:rPr>
          <w:color w:val="auto"/>
        </w:rPr>
      </w:pPr>
    </w:p>
    <w:p w:rsidR="00652175" w:rsidRDefault="00652175" w:rsidP="00652175">
      <w:pPr>
        <w:rPr>
          <w:lang w:eastAsia="cs-CZ"/>
        </w:rPr>
      </w:pPr>
    </w:p>
    <w:p w:rsidR="00652175" w:rsidRPr="00652175" w:rsidRDefault="00652175" w:rsidP="00652175">
      <w:pPr>
        <w:rPr>
          <w:lang w:eastAsia="cs-CZ"/>
        </w:rPr>
      </w:pPr>
    </w:p>
    <w:p w:rsidR="00AE10E3" w:rsidRDefault="00AE10E3" w:rsidP="00AE10E3">
      <w:pPr>
        <w:pStyle w:val="Nadpis6"/>
        <w:spacing w:line="240" w:lineRule="auto"/>
        <w:jc w:val="left"/>
        <w:rPr>
          <w:color w:val="auto"/>
        </w:rPr>
      </w:pPr>
      <w:bookmarkStart w:id="11" w:name="_Toc468343066"/>
      <w:r>
        <w:rPr>
          <w:color w:val="auto"/>
        </w:rPr>
        <w:lastRenderedPageBreak/>
        <w:t>Zdroj informácií o právach dieťaťa</w:t>
      </w:r>
      <w:bookmarkEnd w:id="11"/>
    </w:p>
    <w:p w:rsidR="00980346" w:rsidRDefault="00AE10E3" w:rsidP="0098034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Súčasne s mapovaním teoretických znalostí žiakov základných a stredných škôl v oblasti ľudských práv nás </w:t>
      </w:r>
      <w:r w:rsidR="00980346">
        <w:rPr>
          <w:i/>
          <w:sz w:val="24"/>
          <w:szCs w:val="24"/>
        </w:rPr>
        <w:t xml:space="preserve">vo výskume </w:t>
      </w:r>
      <w:r>
        <w:rPr>
          <w:i/>
          <w:sz w:val="24"/>
          <w:szCs w:val="24"/>
        </w:rPr>
        <w:t xml:space="preserve">zaujímal aj zdroj získaných informácií. </w:t>
      </w:r>
    </w:p>
    <w:p w:rsidR="00AE10E3" w:rsidRPr="00980346" w:rsidRDefault="00AE10E3" w:rsidP="00980346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Najčastejšie uvádzaným zdrojom poznatkov a informácií z oblasti ľudských práv a práv dieťaťa  je jednoznačne učiteľ. </w:t>
      </w:r>
      <w:r>
        <w:rPr>
          <w:b/>
          <w:sz w:val="24"/>
          <w:szCs w:val="24"/>
        </w:rPr>
        <w:t>Až 86,3%</w:t>
      </w:r>
      <w:r>
        <w:rPr>
          <w:sz w:val="24"/>
          <w:szCs w:val="24"/>
        </w:rPr>
        <w:t xml:space="preserve"> oslovených žiakov základných a stredných škôl označilo </w:t>
      </w:r>
      <w:r>
        <w:rPr>
          <w:b/>
          <w:sz w:val="24"/>
          <w:szCs w:val="24"/>
        </w:rPr>
        <w:t>učiteľa</w:t>
      </w:r>
      <w:r>
        <w:rPr>
          <w:sz w:val="24"/>
          <w:szCs w:val="24"/>
        </w:rPr>
        <w:t xml:space="preserve"> za osobu, ktorá ich oboznámila s ľudskými právami. Za učiteľom nasledujú </w:t>
      </w:r>
      <w:r>
        <w:rPr>
          <w:b/>
          <w:sz w:val="24"/>
          <w:szCs w:val="24"/>
        </w:rPr>
        <w:t>rodičia,</w:t>
      </w:r>
      <w:r>
        <w:rPr>
          <w:sz w:val="24"/>
          <w:szCs w:val="24"/>
        </w:rPr>
        <w:t xml:space="preserve"> ktorých uviedol</w:t>
      </w:r>
      <w:r>
        <w:rPr>
          <w:b/>
          <w:sz w:val="24"/>
          <w:szCs w:val="24"/>
        </w:rPr>
        <w:t xml:space="preserve"> </w:t>
      </w:r>
      <w:r w:rsidR="00980346">
        <w:rPr>
          <w:b/>
          <w:sz w:val="24"/>
          <w:szCs w:val="24"/>
        </w:rPr>
        <w:t>viac ako každý druhý</w:t>
      </w:r>
      <w:r>
        <w:rPr>
          <w:sz w:val="24"/>
          <w:szCs w:val="24"/>
        </w:rPr>
        <w:t xml:space="preserve"> respondent. Aj médiá (televízia, rozhlas, tlač) zohrávajú významnú úlohu pri zvyšovaní vzdelania žiakov v oblasti ľudských práv. Takmer </w:t>
      </w:r>
      <w:r w:rsidR="00980346">
        <w:rPr>
          <w:b/>
          <w:sz w:val="24"/>
          <w:szCs w:val="24"/>
        </w:rPr>
        <w:t>40%</w:t>
      </w:r>
      <w:r>
        <w:rPr>
          <w:sz w:val="24"/>
          <w:szCs w:val="24"/>
        </w:rPr>
        <w:t xml:space="preserve"> oslovených prezentovalo </w:t>
      </w:r>
      <w:r>
        <w:rPr>
          <w:b/>
          <w:sz w:val="24"/>
          <w:szCs w:val="24"/>
        </w:rPr>
        <w:t>médiá</w:t>
      </w:r>
      <w:r>
        <w:rPr>
          <w:sz w:val="24"/>
          <w:szCs w:val="24"/>
        </w:rPr>
        <w:t xml:space="preserve"> ako zdroj informácií.  Stále zvyšujúci podiel </w:t>
      </w:r>
      <w:r>
        <w:rPr>
          <w:b/>
          <w:sz w:val="24"/>
          <w:szCs w:val="24"/>
        </w:rPr>
        <w:t xml:space="preserve">internetu </w:t>
      </w:r>
      <w:r>
        <w:rPr>
          <w:sz w:val="24"/>
          <w:szCs w:val="24"/>
        </w:rPr>
        <w:t xml:space="preserve">sa potvrdil aj v tomto prípade, kedy </w:t>
      </w:r>
      <w:r>
        <w:rPr>
          <w:b/>
          <w:sz w:val="24"/>
          <w:szCs w:val="24"/>
        </w:rPr>
        <w:t>viac ako</w:t>
      </w:r>
      <w:r>
        <w:rPr>
          <w:sz w:val="24"/>
          <w:szCs w:val="24"/>
        </w:rPr>
        <w:t xml:space="preserve"> </w:t>
      </w:r>
      <w:r w:rsidR="00980346">
        <w:rPr>
          <w:b/>
          <w:sz w:val="24"/>
          <w:szCs w:val="24"/>
        </w:rPr>
        <w:t>tretina</w:t>
      </w:r>
      <w:r>
        <w:rPr>
          <w:sz w:val="24"/>
          <w:szCs w:val="24"/>
        </w:rPr>
        <w:t xml:space="preserve"> oslovených žiakov ho vníma ako dôležitý zdroj informácií o právach človeka. Približne</w:t>
      </w:r>
      <w:r w:rsidR="00980346">
        <w:rPr>
          <w:b/>
          <w:sz w:val="24"/>
          <w:szCs w:val="24"/>
        </w:rPr>
        <w:t xml:space="preserve"> každý desiaty</w:t>
      </w:r>
      <w:r>
        <w:rPr>
          <w:sz w:val="24"/>
          <w:szCs w:val="24"/>
        </w:rPr>
        <w:t xml:space="preserve">  žiak základnej a strednej školy sa oboznámil so základnými právami dieťaťa a ľudskými právami prostredníctvom </w:t>
      </w:r>
      <w:r>
        <w:rPr>
          <w:b/>
          <w:sz w:val="24"/>
          <w:szCs w:val="24"/>
        </w:rPr>
        <w:t>kamar</w:t>
      </w:r>
      <w:r w:rsidR="00CF68CD">
        <w:rPr>
          <w:b/>
          <w:sz w:val="24"/>
          <w:szCs w:val="24"/>
        </w:rPr>
        <w:t>átov a  6% cez spolužiakov a súrodencov</w:t>
      </w:r>
      <w:r>
        <w:rPr>
          <w:sz w:val="24"/>
          <w:szCs w:val="24"/>
        </w:rPr>
        <w:t>. Približne 5%</w:t>
      </w:r>
      <w:r w:rsidR="00980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skúmaných uviedlo, že </w:t>
      </w:r>
      <w:r w:rsidR="00980346">
        <w:rPr>
          <w:sz w:val="24"/>
          <w:szCs w:val="24"/>
        </w:rPr>
        <w:t xml:space="preserve">im </w:t>
      </w:r>
      <w:r>
        <w:rPr>
          <w:sz w:val="24"/>
          <w:szCs w:val="24"/>
        </w:rPr>
        <w:t xml:space="preserve">takéto </w:t>
      </w:r>
      <w:r w:rsidR="00980346">
        <w:rPr>
          <w:b/>
          <w:sz w:val="24"/>
          <w:szCs w:val="24"/>
        </w:rPr>
        <w:t>informácie im chýbajú.</w:t>
      </w:r>
    </w:p>
    <w:p w:rsidR="00AE10E3" w:rsidRDefault="00AE10E3" w:rsidP="00AE10E3">
      <w:pPr>
        <w:spacing w:after="120"/>
        <w:jc w:val="both"/>
        <w:rPr>
          <w:b/>
        </w:rPr>
      </w:pPr>
      <w:r>
        <w:rPr>
          <w:b/>
        </w:rPr>
        <w:t>Graf č. 8</w:t>
      </w:r>
    </w:p>
    <w:p w:rsidR="00AE10E3" w:rsidRDefault="00AE10E3" w:rsidP="00AE10E3">
      <w:pPr>
        <w:jc w:val="both"/>
        <w:rPr>
          <w:color w:val="FF0000"/>
        </w:rPr>
      </w:pPr>
      <w:r>
        <w:rPr>
          <w:noProof/>
          <w:color w:val="FF0000"/>
          <w:sz w:val="24"/>
          <w:szCs w:val="24"/>
          <w:lang w:eastAsia="sk-SK"/>
        </w:rPr>
        <w:drawing>
          <wp:inline distT="0" distB="0" distL="0" distR="0">
            <wp:extent cx="5775960" cy="1897380"/>
            <wp:effectExtent l="0" t="0" r="0" b="0"/>
            <wp:docPr id="15" name="Graf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>Poznámka: Súčet odpovedí presahuje 100 %, možnosť uviesť viac odpovedí súčasne</w:t>
      </w:r>
    </w:p>
    <w:p w:rsidR="00AE10E3" w:rsidRDefault="00AE10E3" w:rsidP="00AE10E3">
      <w:pPr>
        <w:jc w:val="both"/>
        <w:rPr>
          <w:sz w:val="24"/>
          <w:szCs w:val="24"/>
        </w:rPr>
      </w:pPr>
    </w:p>
    <w:p w:rsidR="00AE10E3" w:rsidRDefault="00AE10E3" w:rsidP="00AE10E3">
      <w:pPr>
        <w:jc w:val="both"/>
        <w:rPr>
          <w:sz w:val="24"/>
          <w:szCs w:val="24"/>
        </w:rPr>
      </w:pPr>
    </w:p>
    <w:p w:rsidR="00AE10E3" w:rsidRPr="00663E52" w:rsidRDefault="00AE10E3" w:rsidP="00E73D3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Informácie o právach dieťaťa prizna</w:t>
      </w:r>
      <w:r w:rsidR="00EC6F20">
        <w:rPr>
          <w:sz w:val="24"/>
          <w:szCs w:val="24"/>
        </w:rPr>
        <w:t>li výraznejšie dievčatá</w:t>
      </w:r>
      <w:r>
        <w:rPr>
          <w:sz w:val="24"/>
          <w:szCs w:val="24"/>
        </w:rPr>
        <w:t>. Len 2,5% opýtaných dievčat a 6,7 % chlapcov sa vyjadrilo, že ich o ľudských právach nikto neinformoval. Ak výsledky porovnáme podľa konkrétneho zdroja informácií zistíme, že poradie jednotlivých zdrojov  je identické u oboch pohlaví. Najčastejším zdrojom informácií o právach dieťaťa sú ako pre dievčatá tak aj pre chlapcov učitelia, pričom výraznejší podiel vykazovali skúmané d</w:t>
      </w:r>
      <w:r w:rsidR="00EC6F20">
        <w:rPr>
          <w:sz w:val="24"/>
          <w:szCs w:val="24"/>
        </w:rPr>
        <w:t>ievčatá</w:t>
      </w:r>
      <w:r>
        <w:rPr>
          <w:sz w:val="24"/>
          <w:szCs w:val="24"/>
        </w:rPr>
        <w:t>. Dievčatá častejšie ako chlapci uvádzali okrem už spomínaných pedagógov aj rodičo</w:t>
      </w:r>
      <w:r w:rsidR="00EC6F20">
        <w:rPr>
          <w:sz w:val="24"/>
          <w:szCs w:val="24"/>
        </w:rPr>
        <w:t>v</w:t>
      </w:r>
      <w:r>
        <w:rPr>
          <w:sz w:val="24"/>
          <w:szCs w:val="24"/>
        </w:rPr>
        <w:t>,</w:t>
      </w:r>
      <w:r w:rsidR="00EC6F20">
        <w:rPr>
          <w:sz w:val="24"/>
          <w:szCs w:val="24"/>
        </w:rPr>
        <w:t xml:space="preserve"> médiá </w:t>
      </w:r>
      <w:r>
        <w:rPr>
          <w:sz w:val="24"/>
          <w:szCs w:val="24"/>
        </w:rPr>
        <w:t>a čo je zaujímavé aj i</w:t>
      </w:r>
      <w:r w:rsidR="00EC6F20">
        <w:rPr>
          <w:sz w:val="24"/>
          <w:szCs w:val="24"/>
        </w:rPr>
        <w:t>nternet</w:t>
      </w:r>
      <w:r>
        <w:rPr>
          <w:sz w:val="24"/>
          <w:szCs w:val="24"/>
        </w:rPr>
        <w:t>. Je teda zrejmé, že dievčatá sa viac pri práci s internetom zameriavajú  na rozširovanie vedomostí.  Spolužiaci dominujú v odpovediach chlapco</w:t>
      </w:r>
      <w:r w:rsidR="00EC6F20">
        <w:rPr>
          <w:sz w:val="24"/>
          <w:szCs w:val="24"/>
        </w:rPr>
        <w:t>v</w:t>
      </w:r>
      <w:r>
        <w:rPr>
          <w:sz w:val="24"/>
          <w:szCs w:val="24"/>
        </w:rPr>
        <w:t>, obdobne ako kamaráti, avšak rozdiel je len</w:t>
      </w:r>
      <w:r w:rsidR="00EC6F20">
        <w:rPr>
          <w:sz w:val="24"/>
          <w:szCs w:val="24"/>
        </w:rPr>
        <w:t xml:space="preserve"> nepatrný</w:t>
      </w:r>
      <w:r w:rsidR="00663E52">
        <w:rPr>
          <w:sz w:val="24"/>
          <w:szCs w:val="24"/>
        </w:rPr>
        <w:t>.</w:t>
      </w:r>
      <w:r w:rsidR="0023554A">
        <w:rPr>
          <w:sz w:val="24"/>
          <w:szCs w:val="24"/>
        </w:rPr>
        <w:t xml:space="preserve"> </w:t>
      </w:r>
      <w:r>
        <w:rPr>
          <w:sz w:val="24"/>
          <w:szCs w:val="24"/>
        </w:rPr>
        <w:t>Ako dokumentujú získané výsledky, významné miesto popri škole a rodine  zohrávajú pri informovaní mladých ľudí aj médiá. A práve tu je dôležité si uvedomiť, že médiá poskytujú mladým ľuďom nielen pozitívne vnemy, ale aj negatívne. Je preto dôležité, aby rodičia vedeli, čo mladí v médiách sledujú. Obdobná situácia je aj v prípade internetu, ktorý, ako potvrdili aj naše výsledky, zohráva stále významnejšiu úlohu v živote súčasnej mládeže. Informácie o právach dieťaťa od učiteľov a rodičov získali častejšie mladší žiaci, žiaci základných škôl</w:t>
      </w:r>
      <w:r w:rsidR="0023554A">
        <w:rPr>
          <w:sz w:val="24"/>
          <w:szCs w:val="24"/>
        </w:rPr>
        <w:t>. U stredoškolákov</w:t>
      </w:r>
      <w:r>
        <w:rPr>
          <w:sz w:val="24"/>
          <w:szCs w:val="24"/>
        </w:rPr>
        <w:t xml:space="preserve"> </w:t>
      </w:r>
      <w:r w:rsidR="0023554A">
        <w:rPr>
          <w:sz w:val="24"/>
          <w:szCs w:val="24"/>
        </w:rPr>
        <w:t xml:space="preserve">  zaznamenávame </w:t>
      </w:r>
      <w:r>
        <w:rPr>
          <w:sz w:val="24"/>
          <w:szCs w:val="24"/>
        </w:rPr>
        <w:t xml:space="preserve"> nepriamu úmernosť. So  zvyšovaním ročníka </w:t>
      </w:r>
      <w:r w:rsidR="0023554A">
        <w:rPr>
          <w:sz w:val="24"/>
          <w:szCs w:val="24"/>
        </w:rPr>
        <w:t xml:space="preserve">štúdia opýtaných </w:t>
      </w:r>
      <w:r>
        <w:rPr>
          <w:sz w:val="24"/>
          <w:szCs w:val="24"/>
        </w:rPr>
        <w:t>tak  klesá percento tých, ktorí uvádzali učiteľov a rodičov ako zdroj vedomostí o ľudských právach.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Internet dominuje v odpovediach žiakov najvyššieho ročníka základnej školy a najnižšieho </w:t>
      </w:r>
      <w:r w:rsidR="00663E52">
        <w:rPr>
          <w:sz w:val="24"/>
          <w:szCs w:val="24"/>
        </w:rPr>
        <w:t>ročníka strednej školy</w:t>
      </w:r>
      <w:r>
        <w:rPr>
          <w:sz w:val="24"/>
          <w:szCs w:val="24"/>
        </w:rPr>
        <w:t>, médiá zas u s</w:t>
      </w:r>
      <w:r w:rsidR="00663E52">
        <w:rPr>
          <w:sz w:val="24"/>
          <w:szCs w:val="24"/>
        </w:rPr>
        <w:t>tredoškolákov 1.ročníka</w:t>
      </w:r>
      <w:r>
        <w:rPr>
          <w:sz w:val="24"/>
          <w:szCs w:val="24"/>
        </w:rPr>
        <w:t>. Všeobecne však možno konštatovať, že približne 40% oslovených žiakov ako základných tak aj stredných škôl vníma média ako významný zdroj poznatkov z oblasti ľu</w:t>
      </w:r>
      <w:r w:rsidR="00663E52">
        <w:rPr>
          <w:sz w:val="24"/>
          <w:szCs w:val="24"/>
        </w:rPr>
        <w:t>dských práv</w:t>
      </w:r>
      <w:r>
        <w:rPr>
          <w:sz w:val="24"/>
          <w:szCs w:val="24"/>
        </w:rPr>
        <w:t xml:space="preserve">. Z výsledkov skúmania je </w:t>
      </w:r>
      <w:r>
        <w:rPr>
          <w:sz w:val="24"/>
          <w:szCs w:val="24"/>
        </w:rPr>
        <w:lastRenderedPageBreak/>
        <w:t>zrejmé, že je to škola a rodina, ktoré zohrávajú najdôležitejšiu úlohu pri rozširovaní vedomostí z oblasti ľudských práv, aj keď nezastupiteľnú úlohu zaujímajú aj médiá a stále viac sa v živote človeka presadzujúci internet.</w:t>
      </w:r>
      <w:r>
        <w:t xml:space="preserve"> </w:t>
      </w:r>
    </w:p>
    <w:p w:rsidR="00AE10E3" w:rsidRDefault="00AE10E3" w:rsidP="00AE10E3">
      <w:pPr>
        <w:jc w:val="both"/>
        <w:rPr>
          <w:b/>
        </w:rPr>
      </w:pPr>
      <w:r>
        <w:rPr>
          <w:b/>
        </w:rPr>
        <w:t>Graf č. 9</w:t>
      </w:r>
    </w:p>
    <w:p w:rsidR="00AE10E3" w:rsidRDefault="00AE10E3" w:rsidP="00AE10E3">
      <w:pPr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sk-SK"/>
        </w:rPr>
        <w:drawing>
          <wp:inline distT="0" distB="0" distL="0" distR="0">
            <wp:extent cx="5494020" cy="1478280"/>
            <wp:effectExtent l="0" t="0" r="0" b="7620"/>
            <wp:docPr id="25" name="Graf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E10E3" w:rsidRDefault="00AE10E3" w:rsidP="00AE10E3">
      <w:pPr>
        <w:jc w:val="both"/>
        <w:rPr>
          <w:color w:val="FF0000"/>
          <w:sz w:val="24"/>
          <w:szCs w:val="24"/>
        </w:rPr>
      </w:pPr>
    </w:p>
    <w:p w:rsidR="00AE10E3" w:rsidRDefault="00AE10E3" w:rsidP="00AE10E3">
      <w:pPr>
        <w:rPr>
          <w:b/>
          <w:color w:val="FF0000"/>
        </w:rPr>
      </w:pPr>
    </w:p>
    <w:p w:rsidR="00AE10E3" w:rsidRDefault="00AE10E3" w:rsidP="0023554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Zaujímavý je poznatok, že neinformovanosť potvrdilo najviac žiakov pochádzajúcich z veľkých miest </w:t>
      </w:r>
      <w:r w:rsidR="0023554A">
        <w:rPr>
          <w:sz w:val="24"/>
          <w:szCs w:val="24"/>
        </w:rPr>
        <w:t>do 100 000 obyvateľov a </w:t>
      </w:r>
      <w:r>
        <w:rPr>
          <w:sz w:val="24"/>
          <w:szCs w:val="24"/>
        </w:rPr>
        <w:t xml:space="preserve"> z veľkomiest a z Trnavského  kraja (TT 11,8%). Najmenej deklarovali chýbajúce vedomosti respondenti zo Žilinského kraja, len 2,1%. </w:t>
      </w:r>
    </w:p>
    <w:p w:rsidR="00AE10E3" w:rsidRDefault="00AE10E3" w:rsidP="00AE10E3">
      <w:pPr>
        <w:jc w:val="both"/>
        <w:rPr>
          <w:b/>
          <w:sz w:val="24"/>
          <w:szCs w:val="24"/>
        </w:rPr>
      </w:pPr>
      <w:r>
        <w:rPr>
          <w:b/>
        </w:rPr>
        <w:t>Graf č. 10</w:t>
      </w:r>
    </w:p>
    <w:p w:rsidR="00AE10E3" w:rsidRDefault="00AE10E3" w:rsidP="00AE10E3">
      <w:pPr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sk-SK"/>
        </w:rPr>
        <w:drawing>
          <wp:inline distT="0" distB="0" distL="0" distR="0">
            <wp:extent cx="5852160" cy="1531620"/>
            <wp:effectExtent l="0" t="0" r="0" b="0"/>
            <wp:docPr id="32" name="Graf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10E3" w:rsidRDefault="00AE10E3" w:rsidP="00AE10E3">
      <w:pPr>
        <w:jc w:val="both"/>
        <w:rPr>
          <w:b/>
          <w:color w:val="FF0000"/>
          <w:sz w:val="24"/>
          <w:szCs w:val="24"/>
        </w:rPr>
      </w:pPr>
    </w:p>
    <w:p w:rsidR="0023554A" w:rsidRDefault="0023554A" w:rsidP="00AE10E3">
      <w:pPr>
        <w:jc w:val="both"/>
        <w:rPr>
          <w:b/>
          <w:sz w:val="24"/>
          <w:szCs w:val="24"/>
        </w:rPr>
      </w:pPr>
    </w:p>
    <w:p w:rsidR="00AE10E3" w:rsidRDefault="00AE10E3" w:rsidP="00AE10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Porovnaním súboru žiakov základných škôl a  žiakov stredných škôl</w:t>
      </w:r>
      <w:r>
        <w:rPr>
          <w:sz w:val="24"/>
          <w:szCs w:val="24"/>
        </w:rPr>
        <w:t xml:space="preserve"> vo vzťahu k zdroju informácií o právach dieťaťa sa zistilo, že absenciu informácií o ľudských právach pociťujú výrazne viac stredoškoláci ako mladší žiaci  (SŠ 6,6%, ZŠ 2,4%).  Sú to žiaci základných škôl, ktorí častejšie označov</w:t>
      </w:r>
      <w:r w:rsidR="008B0C09">
        <w:rPr>
          <w:sz w:val="24"/>
          <w:szCs w:val="24"/>
        </w:rPr>
        <w:t>ali učiteľa, spolužiakov a rodičov</w:t>
      </w:r>
      <w:r>
        <w:rPr>
          <w:sz w:val="24"/>
          <w:szCs w:val="24"/>
        </w:rPr>
        <w:t xml:space="preserve"> ako zdroj poznatkov,  zatiaľ čo</w:t>
      </w:r>
      <w:r w:rsidR="008B0C09">
        <w:rPr>
          <w:sz w:val="24"/>
          <w:szCs w:val="24"/>
        </w:rPr>
        <w:t xml:space="preserve"> u žiakov stredných škôl </w:t>
      </w:r>
      <w:r>
        <w:rPr>
          <w:sz w:val="24"/>
          <w:szCs w:val="24"/>
        </w:rPr>
        <w:t xml:space="preserve"> vyššie zastúpenie vyka</w:t>
      </w:r>
      <w:r w:rsidR="008B0C09">
        <w:rPr>
          <w:sz w:val="24"/>
          <w:szCs w:val="24"/>
        </w:rPr>
        <w:t xml:space="preserve">zovali médiá </w:t>
      </w:r>
      <w:r>
        <w:rPr>
          <w:sz w:val="24"/>
          <w:szCs w:val="24"/>
        </w:rPr>
        <w:t xml:space="preserve"> a najmä i</w:t>
      </w:r>
      <w:r w:rsidR="008B0C09">
        <w:rPr>
          <w:sz w:val="24"/>
          <w:szCs w:val="24"/>
        </w:rPr>
        <w:t>nternet</w:t>
      </w:r>
      <w:r>
        <w:rPr>
          <w:sz w:val="24"/>
          <w:szCs w:val="24"/>
        </w:rPr>
        <w:t xml:space="preserve">. Kamarátov ako zdroj informácií  uvádzalo približne </w:t>
      </w:r>
      <w:r w:rsidR="008B0C09">
        <w:rPr>
          <w:sz w:val="24"/>
          <w:szCs w:val="24"/>
        </w:rPr>
        <w:t>9% oslovených</w:t>
      </w:r>
      <w:r>
        <w:rPr>
          <w:sz w:val="24"/>
          <w:szCs w:val="24"/>
        </w:rPr>
        <w:t xml:space="preserve">. Poradie preferencie osôb  je pritom za obidva súbory identické. </w:t>
      </w:r>
    </w:p>
    <w:p w:rsidR="0023554A" w:rsidRDefault="0023554A" w:rsidP="00AE10E3">
      <w:pPr>
        <w:jc w:val="both"/>
        <w:rPr>
          <w:b/>
          <w:sz w:val="24"/>
          <w:szCs w:val="24"/>
        </w:rPr>
      </w:pPr>
    </w:p>
    <w:p w:rsidR="00AE10E3" w:rsidRDefault="00AE10E3" w:rsidP="00AE10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Porovnaním výsledkov za sledované roky 2007 až 2016</w:t>
      </w:r>
      <w:r>
        <w:rPr>
          <w:sz w:val="24"/>
          <w:szCs w:val="24"/>
        </w:rPr>
        <w:t xml:space="preserve"> sa potvrdil mierne pozitívny trend.   Len 4,5% oslovených žiakov základných a stredných škôl uviedlo, že nemá informácie o základných právach dieťaťa. Súčasne klesá percento tých, ktorí konkrétny dokument o právach dieťaťa  (Dohovor o právach dieťaťa) ako aj iné všeobecné dokumenty o ľudských právach  nepozná. Aj to svedčí  o mierne zlepšujúcej sa situácii v informovanosti mladých ľudí o ľudských právach a právach dieťaťa. Za roky zisťovania stúpa percento žiakov deklarujúcich ako zdroj informácií učiteľov (rok 2007 88,6%, rok 2009 75,2%, rok 2012 82,8%, rok 2014 82,7%, 2016 86,3%). Zároveň  stúpa percento tých, ktorí získali informácie</w:t>
      </w:r>
      <w:r w:rsidR="00587B8D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 internetu a klesá význam médií. Celkovo sa tak stále viac posilňuje úloha školského vzdelávania v oblasti ľudských práv, ale aj rodiny a informačných technológií.  </w:t>
      </w:r>
    </w:p>
    <w:p w:rsidR="00AE10E3" w:rsidRDefault="00AE10E3" w:rsidP="00AE10E3">
      <w:pPr>
        <w:jc w:val="both"/>
        <w:rPr>
          <w:color w:val="FF0000"/>
          <w:sz w:val="24"/>
          <w:szCs w:val="24"/>
        </w:rPr>
      </w:pPr>
    </w:p>
    <w:p w:rsidR="0023554A" w:rsidRDefault="0023554A" w:rsidP="00AE10E3">
      <w:pPr>
        <w:pStyle w:val="Zkladntext"/>
        <w:jc w:val="both"/>
        <w:rPr>
          <w:b/>
          <w:sz w:val="20"/>
        </w:rPr>
      </w:pPr>
    </w:p>
    <w:p w:rsidR="00E73D32" w:rsidRDefault="00E73D32" w:rsidP="00AE10E3">
      <w:pPr>
        <w:pStyle w:val="Zkladntext"/>
        <w:jc w:val="both"/>
        <w:rPr>
          <w:b/>
          <w:sz w:val="20"/>
        </w:rPr>
      </w:pPr>
    </w:p>
    <w:p w:rsidR="00AE10E3" w:rsidRDefault="00AE10E3" w:rsidP="00AE10E3">
      <w:pPr>
        <w:pStyle w:val="Zkladntext"/>
        <w:jc w:val="both"/>
        <w:rPr>
          <w:b/>
          <w:sz w:val="20"/>
        </w:rPr>
      </w:pPr>
      <w:r>
        <w:rPr>
          <w:b/>
          <w:sz w:val="20"/>
        </w:rPr>
        <w:lastRenderedPageBreak/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8"/>
        <w:gridCol w:w="1083"/>
        <w:gridCol w:w="1081"/>
        <w:gridCol w:w="1081"/>
        <w:gridCol w:w="1081"/>
        <w:gridCol w:w="1078"/>
      </w:tblGrid>
      <w:tr w:rsidR="00AE10E3" w:rsidTr="00AE10E3">
        <w:trPr>
          <w:cantSplit/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  <w:vertAlign w:val="subscript"/>
                <w:lang w:eastAsia="cs-CZ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AE10E3" w:rsidTr="00AE10E3">
        <w:trPr>
          <w:cantSplit/>
          <w:trHeight w:val="25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Zdroj informácií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2007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2009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2012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2014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E10E3" w:rsidRDefault="00AE10E3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2016</w:t>
            </w:r>
          </w:p>
        </w:tc>
      </w:tr>
      <w:tr w:rsidR="00AE10E3" w:rsidTr="00AE10E3">
        <w:trPr>
          <w:trHeight w:val="175"/>
        </w:trPr>
        <w:tc>
          <w:tcPr>
            <w:tcW w:w="20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učitelia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88,6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75,2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82,8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82,7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86,3</w:t>
            </w:r>
          </w:p>
        </w:tc>
      </w:tr>
      <w:tr w:rsidR="00AE10E3" w:rsidTr="00AE10E3">
        <w:trPr>
          <w:trHeight w:val="63"/>
        </w:trPr>
        <w:tc>
          <w:tcPr>
            <w:tcW w:w="20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spolužiaci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6,3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6,1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7,0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6,3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6,2</w:t>
            </w:r>
          </w:p>
        </w:tc>
      </w:tr>
      <w:tr w:rsidR="00AE10E3" w:rsidTr="00AE10E3">
        <w:trPr>
          <w:trHeight w:val="83"/>
        </w:trPr>
        <w:tc>
          <w:tcPr>
            <w:tcW w:w="20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rodičia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49,6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44,7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54,3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47,1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54,2</w:t>
            </w:r>
          </w:p>
        </w:tc>
      </w:tr>
      <w:tr w:rsidR="00AE10E3" w:rsidTr="00AE10E3">
        <w:trPr>
          <w:trHeight w:val="102"/>
        </w:trPr>
        <w:tc>
          <w:tcPr>
            <w:tcW w:w="20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súrodenci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5,0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4,3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5,8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5,5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6,1</w:t>
            </w:r>
          </w:p>
        </w:tc>
      </w:tr>
      <w:tr w:rsidR="00AE10E3" w:rsidTr="00AE10E3">
        <w:trPr>
          <w:trHeight w:val="133"/>
        </w:trPr>
        <w:tc>
          <w:tcPr>
            <w:tcW w:w="20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kamaráti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7,0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9,7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9,0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10,0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8,8</w:t>
            </w:r>
          </w:p>
        </w:tc>
      </w:tr>
      <w:tr w:rsidR="00AE10E3" w:rsidTr="00AE10E3">
        <w:trPr>
          <w:trHeight w:val="63"/>
        </w:trPr>
        <w:tc>
          <w:tcPr>
            <w:tcW w:w="20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médiá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48,8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40,7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49,1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39,4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37,2</w:t>
            </w:r>
          </w:p>
        </w:tc>
      </w:tr>
      <w:tr w:rsidR="00AE10E3" w:rsidTr="00AE10E3">
        <w:trPr>
          <w:trHeight w:val="254"/>
        </w:trPr>
        <w:tc>
          <w:tcPr>
            <w:tcW w:w="20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internet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18,5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26,4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36,0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34,0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35,1</w:t>
            </w:r>
          </w:p>
        </w:tc>
      </w:tr>
      <w:tr w:rsidR="00AE10E3" w:rsidTr="00AE10E3">
        <w:trPr>
          <w:trHeight w:val="254"/>
        </w:trPr>
        <w:tc>
          <w:tcPr>
            <w:tcW w:w="20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iný zdroj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1,4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2,7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2,0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2,1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1,7</w:t>
            </w:r>
          </w:p>
        </w:tc>
      </w:tr>
      <w:tr w:rsidR="00AE10E3" w:rsidTr="00AE10E3">
        <w:trPr>
          <w:trHeight w:val="254"/>
        </w:trPr>
        <w:tc>
          <w:tcPr>
            <w:tcW w:w="20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nikto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2,9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9,7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6,1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5,0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10E3" w:rsidRDefault="00AE10E3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4,5</w:t>
            </w:r>
          </w:p>
        </w:tc>
      </w:tr>
    </w:tbl>
    <w:p w:rsidR="00AE10E3" w:rsidRDefault="00AE10E3" w:rsidP="00AE10E3">
      <w:pPr>
        <w:pStyle w:val="Nadpis6"/>
        <w:spacing w:line="240" w:lineRule="auto"/>
        <w:jc w:val="left"/>
        <w:rPr>
          <w:color w:val="auto"/>
        </w:rPr>
      </w:pPr>
    </w:p>
    <w:p w:rsidR="00AE10E3" w:rsidRDefault="00AE10E3" w:rsidP="00AE10E3">
      <w:pPr>
        <w:rPr>
          <w:lang w:eastAsia="cs-CZ"/>
        </w:rPr>
      </w:pPr>
    </w:p>
    <w:p w:rsidR="00AE10E3" w:rsidRDefault="00AE10E3" w:rsidP="00AE10E3">
      <w:pPr>
        <w:rPr>
          <w:lang w:eastAsia="cs-CZ"/>
        </w:rPr>
      </w:pPr>
    </w:p>
    <w:p w:rsidR="00AE10E3" w:rsidRDefault="00AE10E3" w:rsidP="00AE10E3">
      <w:pPr>
        <w:pStyle w:val="Nadpis6"/>
        <w:spacing w:line="240" w:lineRule="auto"/>
        <w:jc w:val="left"/>
        <w:rPr>
          <w:color w:val="auto"/>
        </w:rPr>
      </w:pPr>
      <w:bookmarkStart w:id="12" w:name="_Toc468343067"/>
      <w:r>
        <w:rPr>
          <w:color w:val="auto"/>
        </w:rPr>
        <w:t>Problematika ľudských práv vo vyučovacom procese</w:t>
      </w:r>
      <w:bookmarkEnd w:id="12"/>
    </w:p>
    <w:p w:rsidR="00AE10E3" w:rsidRDefault="00AE10E3" w:rsidP="00E73D3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 obsahom ľudských práv sa</w:t>
      </w:r>
      <w:r>
        <w:rPr>
          <w:b/>
          <w:sz w:val="24"/>
          <w:szCs w:val="24"/>
        </w:rPr>
        <w:t xml:space="preserve"> v procese výučby oboznámilo 37,7% </w:t>
      </w:r>
      <w:r>
        <w:rPr>
          <w:sz w:val="24"/>
          <w:szCs w:val="24"/>
        </w:rPr>
        <w:t>oslovených žiakov a každý</w:t>
      </w:r>
      <w:r>
        <w:rPr>
          <w:b/>
          <w:sz w:val="24"/>
          <w:szCs w:val="24"/>
        </w:rPr>
        <w:t xml:space="preserve"> takmer tretina (31,8%) </w:t>
      </w:r>
      <w:r>
        <w:rPr>
          <w:sz w:val="24"/>
          <w:szCs w:val="24"/>
        </w:rPr>
        <w:t>uviedla, že problematiku ľudských práv v škole</w:t>
      </w:r>
      <w:r>
        <w:rPr>
          <w:b/>
          <w:sz w:val="24"/>
          <w:szCs w:val="24"/>
        </w:rPr>
        <w:t xml:space="preserve"> nepreberali.</w:t>
      </w:r>
      <w:r>
        <w:rPr>
          <w:sz w:val="24"/>
          <w:szCs w:val="24"/>
        </w:rPr>
        <w:t xml:space="preserve"> Približne </w:t>
      </w:r>
      <w:r>
        <w:rPr>
          <w:b/>
          <w:sz w:val="24"/>
          <w:szCs w:val="24"/>
        </w:rPr>
        <w:t>30% (30,5%)</w:t>
      </w:r>
      <w:r>
        <w:rPr>
          <w:sz w:val="24"/>
          <w:szCs w:val="24"/>
        </w:rPr>
        <w:t xml:space="preserve"> sa však k otázke nevedela alebo nechcela vyjadriť. </w:t>
      </w:r>
    </w:p>
    <w:p w:rsidR="00AE10E3" w:rsidRDefault="00AE10E3" w:rsidP="00AE10E3">
      <w:pPr>
        <w:jc w:val="both"/>
        <w:rPr>
          <w:b/>
        </w:rPr>
      </w:pPr>
      <w:r>
        <w:rPr>
          <w:b/>
        </w:rPr>
        <w:t>Graf č.</w:t>
      </w:r>
      <w:r>
        <w:rPr>
          <w:b/>
        </w:rPr>
        <w:tab/>
        <w:t>11</w:t>
      </w:r>
      <w:r>
        <w:rPr>
          <w:b/>
          <w:sz w:val="24"/>
          <w:szCs w:val="24"/>
        </w:rPr>
        <w:t xml:space="preserve">                   </w:t>
      </w:r>
    </w:p>
    <w:p w:rsidR="00AE10E3" w:rsidRDefault="00AE10E3" w:rsidP="00AE10E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5836920" cy="1417320"/>
            <wp:effectExtent l="0" t="0" r="0" b="0"/>
            <wp:docPr id="67" name="Graf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E10E3" w:rsidRDefault="00AE10E3" w:rsidP="00AE10E3">
      <w:pPr>
        <w:jc w:val="both"/>
        <w:rPr>
          <w:sz w:val="24"/>
          <w:szCs w:val="24"/>
        </w:rPr>
      </w:pPr>
    </w:p>
    <w:p w:rsidR="00587B8D" w:rsidRDefault="00587B8D" w:rsidP="00AE10E3">
      <w:pPr>
        <w:jc w:val="both"/>
        <w:rPr>
          <w:sz w:val="24"/>
          <w:szCs w:val="24"/>
        </w:rPr>
      </w:pPr>
    </w:p>
    <w:p w:rsidR="00AE10E3" w:rsidRDefault="00AE10E3" w:rsidP="00AE10E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Na základe analýzy </w:t>
      </w:r>
      <w:r>
        <w:rPr>
          <w:b/>
          <w:sz w:val="24"/>
          <w:szCs w:val="24"/>
        </w:rPr>
        <w:t>konkrétnych vyučovacích predmetov</w:t>
      </w:r>
      <w:r>
        <w:rPr>
          <w:sz w:val="24"/>
          <w:szCs w:val="24"/>
        </w:rPr>
        <w:t xml:space="preserve"> sa</w:t>
      </w:r>
      <w:r w:rsidR="00587B8D">
        <w:rPr>
          <w:sz w:val="24"/>
          <w:szCs w:val="24"/>
        </w:rPr>
        <w:t xml:space="preserve"> zistilo, že v odpovediach </w:t>
      </w:r>
      <w:r>
        <w:rPr>
          <w:sz w:val="24"/>
          <w:szCs w:val="24"/>
        </w:rPr>
        <w:t xml:space="preserve"> dominovala  </w:t>
      </w:r>
      <w:r>
        <w:rPr>
          <w:b/>
          <w:sz w:val="24"/>
          <w:szCs w:val="24"/>
        </w:rPr>
        <w:t>občianska náuka (60,1%)</w:t>
      </w:r>
      <w:r>
        <w:rPr>
          <w:sz w:val="24"/>
          <w:szCs w:val="24"/>
        </w:rPr>
        <w:t xml:space="preserve">. </w:t>
      </w:r>
      <w:r w:rsidR="00587B8D">
        <w:rPr>
          <w:b/>
          <w:sz w:val="24"/>
          <w:szCs w:val="24"/>
        </w:rPr>
        <w:t>Ostatné predmety boli</w:t>
      </w:r>
      <w:r>
        <w:rPr>
          <w:b/>
          <w:sz w:val="24"/>
          <w:szCs w:val="24"/>
        </w:rPr>
        <w:t xml:space="preserve"> pod hranicou 10%,</w:t>
      </w:r>
      <w:r w:rsidR="00E63264">
        <w:rPr>
          <w:sz w:val="24"/>
          <w:szCs w:val="24"/>
        </w:rPr>
        <w:t xml:space="preserve"> a to etika, dejepis a iný predmet</w:t>
      </w:r>
      <w:r>
        <w:rPr>
          <w:sz w:val="24"/>
          <w:szCs w:val="24"/>
        </w:rPr>
        <w:t>,  náuka o spoločnos</w:t>
      </w:r>
      <w:r w:rsidR="00E63264">
        <w:rPr>
          <w:sz w:val="24"/>
          <w:szCs w:val="24"/>
        </w:rPr>
        <w:t>ti, matematika, prírodovedné predmety, slovenský jazyk  a náboženská výchova</w:t>
      </w:r>
      <w:r>
        <w:rPr>
          <w:sz w:val="24"/>
          <w:szCs w:val="24"/>
        </w:rPr>
        <w:t xml:space="preserve">. </w:t>
      </w:r>
    </w:p>
    <w:p w:rsidR="00AE10E3" w:rsidRDefault="00AE10E3" w:rsidP="00AE10E3">
      <w:pPr>
        <w:jc w:val="both"/>
        <w:rPr>
          <w:color w:val="FF0000"/>
          <w:sz w:val="24"/>
          <w:szCs w:val="24"/>
        </w:rPr>
      </w:pPr>
    </w:p>
    <w:p w:rsidR="00AE10E3" w:rsidRDefault="00AE10E3" w:rsidP="00AE10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Obsah vyučovania obohatený o problematiku ľudských práv prezentovali najmä respondenti z Prešovského kraja, kde až viac ako 60% (61,1%) oslovených uviedlo, že problematika ľudských práv je súčasťou výučby  vyučovacích predmetov v škole. Za nimi nasledujú žiaci zo škôl v Trenčianskom a Žilinskom  kraji, kde uvedenú skutočnosť potvrdil takmer každý </w:t>
      </w:r>
      <w:r w:rsidR="00E63264">
        <w:rPr>
          <w:sz w:val="24"/>
          <w:szCs w:val="24"/>
        </w:rPr>
        <w:t>druhý žiak</w:t>
      </w:r>
      <w:r>
        <w:rPr>
          <w:sz w:val="24"/>
          <w:szCs w:val="24"/>
        </w:rPr>
        <w:t xml:space="preserve">. Naopak, na absenciu problematiky vo vyučovacom procese poukazovali najmä </w:t>
      </w:r>
      <w:r w:rsidR="00587B8D">
        <w:rPr>
          <w:sz w:val="24"/>
          <w:szCs w:val="24"/>
        </w:rPr>
        <w:t>o</w:t>
      </w:r>
      <w:r>
        <w:rPr>
          <w:sz w:val="24"/>
          <w:szCs w:val="24"/>
        </w:rPr>
        <w:t>pýtaní z Nitrianskeho a Trnav</w:t>
      </w:r>
      <w:r w:rsidR="00E63264">
        <w:rPr>
          <w:sz w:val="24"/>
          <w:szCs w:val="24"/>
        </w:rPr>
        <w:t>ského kraja</w:t>
      </w:r>
      <w:r>
        <w:rPr>
          <w:sz w:val="24"/>
          <w:szCs w:val="24"/>
        </w:rPr>
        <w:t>, pričom najnižšiu hodnotu dosahuje v odpovediach žiakov z Prešovského kraja (15,3%).   S problematikou ľudských práv sa vo vyučovacom procese stretávali častejšie respond</w:t>
      </w:r>
      <w:r w:rsidR="00E63264">
        <w:rPr>
          <w:sz w:val="24"/>
          <w:szCs w:val="24"/>
        </w:rPr>
        <w:t xml:space="preserve">enti žijúci vo väčších mestách </w:t>
      </w:r>
      <w:r>
        <w:rPr>
          <w:sz w:val="24"/>
          <w:szCs w:val="24"/>
        </w:rPr>
        <w:t xml:space="preserve">,  najmä však  z miest od 10 000 do 50 000 obyvateľov.  Všeobecne  výučbu ľudských práv potvrdilo približne 40% opýtaných bez rozdielu lokality bydliska. </w:t>
      </w:r>
    </w:p>
    <w:p w:rsidR="00E63264" w:rsidRDefault="00E63264" w:rsidP="00AE10E3">
      <w:pPr>
        <w:jc w:val="both"/>
        <w:rPr>
          <w:b/>
          <w:sz w:val="24"/>
          <w:szCs w:val="24"/>
        </w:rPr>
      </w:pPr>
    </w:p>
    <w:p w:rsidR="00AE10E3" w:rsidRPr="00AB29A3" w:rsidRDefault="00AE10E3" w:rsidP="00AE10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Porovnaním údajov za súbory žiakov základných a stredných škôl</w:t>
      </w:r>
      <w:r>
        <w:rPr>
          <w:sz w:val="24"/>
          <w:szCs w:val="24"/>
        </w:rPr>
        <w:t xml:space="preserve"> sa zistilo, že s problematikou ľudských práv sa oboznámilo v rámci vyučovania v škole 41,3% žiakov základných škôl a 42,6% stredoškolákov. V prostredí stre</w:t>
      </w:r>
      <w:r w:rsidR="00587B8D">
        <w:rPr>
          <w:sz w:val="24"/>
          <w:szCs w:val="24"/>
        </w:rPr>
        <w:t>dných škôl došlo</w:t>
      </w:r>
      <w:r>
        <w:rPr>
          <w:sz w:val="24"/>
          <w:szCs w:val="24"/>
        </w:rPr>
        <w:t xml:space="preserve"> k výraznejšiemu  nárastu oproti predchádzajúcemu zisťovaniu (rok 2016 42,6%, 2014 37,1%). </w:t>
      </w:r>
      <w:r>
        <w:rPr>
          <w:sz w:val="24"/>
          <w:szCs w:val="24"/>
        </w:rPr>
        <w:lastRenderedPageBreak/>
        <w:t xml:space="preserve">Pritom práve stredoškoláci viac ako mladší žiaci volili odpoveď neviem, nezaujali k problematike stanovisko. Je zaujímavé, že sú to žiaci základných škôl, ktorí častejšie deklarovali absenciu vzdelávania v oblasti ľudských práv v procese výučby. Približne tretina  žiakov základných  aj stredných škôl nevedela na otázku odpovedať. Oblasť ľudských práv a práv dieťaťa je v základných a stredných školách začlenená najmä do učebných osnov predmetov občianska výchova a občianska náuka a náuka o </w:t>
      </w:r>
      <w:r w:rsidR="00E63264">
        <w:rPr>
          <w:sz w:val="24"/>
          <w:szCs w:val="24"/>
        </w:rPr>
        <w:t>spoločnosti, etika  a dejepis</w:t>
      </w:r>
      <w:r>
        <w:rPr>
          <w:sz w:val="24"/>
          <w:szCs w:val="24"/>
        </w:rPr>
        <w:t xml:space="preserve">. V ostatných predmetoch je problematika ľudských práv spomínaná len okrajovo </w:t>
      </w:r>
      <w:r w:rsidR="00587B8D">
        <w:rPr>
          <w:sz w:val="24"/>
          <w:szCs w:val="24"/>
        </w:rPr>
        <w:t xml:space="preserve">a vzdelávaná </w:t>
      </w:r>
      <w:r>
        <w:rPr>
          <w:sz w:val="24"/>
          <w:szCs w:val="24"/>
        </w:rPr>
        <w:t xml:space="preserve">v závislosti od </w:t>
      </w:r>
      <w:r w:rsidR="00587B8D">
        <w:rPr>
          <w:sz w:val="24"/>
          <w:szCs w:val="24"/>
        </w:rPr>
        <w:t xml:space="preserve">osobnosti </w:t>
      </w:r>
      <w:r>
        <w:rPr>
          <w:sz w:val="24"/>
          <w:szCs w:val="24"/>
        </w:rPr>
        <w:t>pedagóga.</w:t>
      </w:r>
    </w:p>
    <w:p w:rsidR="00AB29A3" w:rsidRDefault="00AB29A3" w:rsidP="00AE10E3">
      <w:pPr>
        <w:jc w:val="both"/>
        <w:rPr>
          <w:b/>
          <w:sz w:val="24"/>
          <w:szCs w:val="24"/>
        </w:rPr>
      </w:pPr>
    </w:p>
    <w:p w:rsidR="00AE10E3" w:rsidRDefault="00AE10E3" w:rsidP="00AE10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 porovnania údajov s výsledkami  z predchádz</w:t>
      </w:r>
      <w:r w:rsidR="00587B8D">
        <w:rPr>
          <w:b/>
          <w:sz w:val="24"/>
          <w:szCs w:val="24"/>
        </w:rPr>
        <w:t xml:space="preserve">ajúceho  zisťovania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je zrejmé, že hoci u oslovených žiakov základných a stredných škôl prevláda presvedčenie, že problematika ľudských práv je súčasťo</w:t>
      </w:r>
      <w:r w:rsidR="00E63264">
        <w:rPr>
          <w:sz w:val="24"/>
          <w:szCs w:val="24"/>
        </w:rPr>
        <w:t xml:space="preserve">u vyučovacieho procesu v škole </w:t>
      </w:r>
      <w:r>
        <w:rPr>
          <w:sz w:val="24"/>
          <w:szCs w:val="24"/>
        </w:rPr>
        <w:t xml:space="preserve">,  stále viac sa </w:t>
      </w:r>
      <w:r w:rsidR="00E63264">
        <w:rPr>
          <w:sz w:val="24"/>
          <w:szCs w:val="24"/>
        </w:rPr>
        <w:t xml:space="preserve">ich </w:t>
      </w:r>
      <w:r>
        <w:rPr>
          <w:sz w:val="24"/>
          <w:szCs w:val="24"/>
        </w:rPr>
        <w:t xml:space="preserve">prikláňa k názoru  o nízkom zastúpení </w:t>
      </w:r>
      <w:proofErr w:type="spellStart"/>
      <w:r>
        <w:rPr>
          <w:sz w:val="24"/>
          <w:szCs w:val="24"/>
        </w:rPr>
        <w:t>ľudskoprávnych</w:t>
      </w:r>
      <w:proofErr w:type="spellEnd"/>
      <w:r>
        <w:rPr>
          <w:sz w:val="24"/>
          <w:szCs w:val="24"/>
        </w:rPr>
        <w:t xml:space="preserve"> tém vo výučbe jednotlivých predmetov. Uvedená skutočnosť môže súvisieť so všeobecným trendom zvyšovania porušovania ľudských práv vo svete.</w:t>
      </w:r>
    </w:p>
    <w:p w:rsidR="00AE10E3" w:rsidRPr="00276FC6" w:rsidRDefault="00AE10E3" w:rsidP="00AE10E3">
      <w:pPr>
        <w:pStyle w:val="Nadpis6"/>
        <w:spacing w:line="240" w:lineRule="auto"/>
        <w:jc w:val="left"/>
        <w:rPr>
          <w:sz w:val="24"/>
          <w:szCs w:val="24"/>
        </w:rPr>
      </w:pPr>
    </w:p>
    <w:p w:rsidR="00CD22A9" w:rsidRDefault="00CD22A9" w:rsidP="00276FC6">
      <w:pPr>
        <w:pStyle w:val="Nadpis6"/>
        <w:spacing w:line="240" w:lineRule="auto"/>
        <w:jc w:val="both"/>
        <w:rPr>
          <w:b w:val="0"/>
          <w:sz w:val="24"/>
          <w:szCs w:val="24"/>
        </w:rPr>
      </w:pPr>
    </w:p>
    <w:p w:rsidR="00CD22A9" w:rsidRPr="00CD22A9" w:rsidRDefault="00CD22A9" w:rsidP="00276FC6">
      <w:pPr>
        <w:pStyle w:val="Nadpis6"/>
        <w:spacing w:line="240" w:lineRule="auto"/>
        <w:jc w:val="both"/>
        <w:rPr>
          <w:i/>
          <w:sz w:val="24"/>
          <w:szCs w:val="24"/>
        </w:rPr>
      </w:pPr>
      <w:r w:rsidRPr="00CD22A9">
        <w:rPr>
          <w:i/>
          <w:sz w:val="24"/>
          <w:szCs w:val="24"/>
        </w:rPr>
        <w:t>Záver</w:t>
      </w:r>
    </w:p>
    <w:p w:rsidR="00AE10E3" w:rsidRPr="00CD22A9" w:rsidRDefault="00276FC6" w:rsidP="00276FC6">
      <w:pPr>
        <w:pStyle w:val="Nadpis6"/>
        <w:spacing w:line="240" w:lineRule="auto"/>
        <w:jc w:val="both"/>
        <w:rPr>
          <w:b w:val="0"/>
          <w:i/>
          <w:sz w:val="24"/>
          <w:szCs w:val="24"/>
        </w:rPr>
      </w:pPr>
      <w:r w:rsidRPr="00CD22A9">
        <w:rPr>
          <w:b w:val="0"/>
          <w:i/>
          <w:sz w:val="24"/>
          <w:szCs w:val="24"/>
        </w:rPr>
        <w:t xml:space="preserve">Spracovaný odborný príspevok predstavuje snahu o pohľad na situáciu  vzdelávania žiakov základných a stredných škôl v oblasti ľudských práv. Podľa výsledkov výskumu </w:t>
      </w:r>
      <w:r w:rsidRPr="00CD22A9">
        <w:rPr>
          <w:i/>
          <w:sz w:val="24"/>
          <w:szCs w:val="24"/>
        </w:rPr>
        <w:t xml:space="preserve">súčasní mladí ľudia disponujú výrazne väčším objemom vedomostí </w:t>
      </w:r>
      <w:r w:rsidRPr="00CD22A9">
        <w:rPr>
          <w:b w:val="0"/>
          <w:i/>
          <w:sz w:val="24"/>
          <w:szCs w:val="24"/>
        </w:rPr>
        <w:t xml:space="preserve">ako pri predchádzajúcich zisťovaniach. Vedia definovať základné ľudské práva a práva dieťaťa, pričom </w:t>
      </w:r>
      <w:r w:rsidR="00CD22A9" w:rsidRPr="00CD22A9">
        <w:rPr>
          <w:i/>
          <w:sz w:val="24"/>
          <w:szCs w:val="24"/>
        </w:rPr>
        <w:t>najznámejšími</w:t>
      </w:r>
      <w:r w:rsidRPr="00CD22A9">
        <w:rPr>
          <w:i/>
          <w:sz w:val="24"/>
          <w:szCs w:val="24"/>
        </w:rPr>
        <w:t xml:space="preserve">  s</w:t>
      </w:r>
      <w:r w:rsidR="00CD22A9" w:rsidRPr="00CD22A9">
        <w:rPr>
          <w:i/>
          <w:sz w:val="24"/>
          <w:szCs w:val="24"/>
        </w:rPr>
        <w:t>ú pre žiakov:</w:t>
      </w:r>
      <w:r w:rsidRPr="00CD22A9">
        <w:rPr>
          <w:i/>
          <w:sz w:val="24"/>
          <w:szCs w:val="24"/>
        </w:rPr>
        <w:t xml:space="preserve"> </w:t>
      </w:r>
      <w:r w:rsidR="00CD22A9" w:rsidRPr="00CD22A9">
        <w:rPr>
          <w:i/>
          <w:sz w:val="24"/>
          <w:szCs w:val="24"/>
        </w:rPr>
        <w:t>právo na vzdelanie</w:t>
      </w:r>
      <w:r w:rsidRPr="00CD22A9">
        <w:rPr>
          <w:bCs/>
          <w:i/>
          <w:sz w:val="24"/>
          <w:szCs w:val="24"/>
        </w:rPr>
        <w:t xml:space="preserve"> </w:t>
      </w:r>
      <w:r w:rsidR="00CD22A9" w:rsidRPr="00CD22A9">
        <w:rPr>
          <w:b w:val="0"/>
          <w:bCs/>
          <w:i/>
          <w:sz w:val="24"/>
          <w:szCs w:val="24"/>
        </w:rPr>
        <w:t>(</w:t>
      </w:r>
      <w:r w:rsidRPr="00CD22A9">
        <w:rPr>
          <w:b w:val="0"/>
          <w:bCs/>
          <w:i/>
          <w:sz w:val="24"/>
          <w:szCs w:val="24"/>
        </w:rPr>
        <w:t>70,5</w:t>
      </w:r>
      <w:r w:rsidRPr="00CD22A9">
        <w:rPr>
          <w:b w:val="0"/>
          <w:i/>
          <w:sz w:val="24"/>
          <w:szCs w:val="24"/>
        </w:rPr>
        <w:t>%</w:t>
      </w:r>
      <w:r w:rsidR="00CD22A9" w:rsidRPr="00CD22A9">
        <w:rPr>
          <w:b w:val="0"/>
          <w:i/>
          <w:sz w:val="24"/>
          <w:szCs w:val="24"/>
        </w:rPr>
        <w:t>)</w:t>
      </w:r>
      <w:r w:rsidRPr="00CD22A9">
        <w:rPr>
          <w:b w:val="0"/>
          <w:i/>
          <w:sz w:val="24"/>
          <w:szCs w:val="24"/>
        </w:rPr>
        <w:t>,</w:t>
      </w:r>
      <w:r w:rsidRPr="00CD22A9">
        <w:rPr>
          <w:i/>
          <w:sz w:val="24"/>
          <w:szCs w:val="24"/>
        </w:rPr>
        <w:t xml:space="preserve"> právo na slobodu prejavu, slobodu náboženstva a prístupu k informáciám </w:t>
      </w:r>
      <w:r w:rsidRPr="00CD22A9">
        <w:rPr>
          <w:b w:val="0"/>
          <w:i/>
          <w:sz w:val="24"/>
          <w:szCs w:val="24"/>
        </w:rPr>
        <w:t>(41,1%),</w:t>
      </w:r>
      <w:r w:rsidRPr="00CD22A9">
        <w:rPr>
          <w:i/>
          <w:sz w:val="24"/>
          <w:szCs w:val="24"/>
        </w:rPr>
        <w:t xml:space="preserve"> právo na výchovu, starostlivosť rodičov a rodinu </w:t>
      </w:r>
      <w:r w:rsidRPr="00CD22A9">
        <w:rPr>
          <w:b w:val="0"/>
          <w:i/>
          <w:sz w:val="24"/>
          <w:szCs w:val="24"/>
        </w:rPr>
        <w:t>(40,7%)</w:t>
      </w:r>
      <w:r w:rsidRPr="00CD22A9">
        <w:rPr>
          <w:i/>
          <w:sz w:val="24"/>
          <w:szCs w:val="24"/>
        </w:rPr>
        <w:t xml:space="preserve"> a právo na život, lásku </w:t>
      </w:r>
      <w:r w:rsidRPr="00CD22A9">
        <w:rPr>
          <w:b w:val="0"/>
          <w:i/>
          <w:sz w:val="24"/>
          <w:szCs w:val="24"/>
        </w:rPr>
        <w:t>(29,5%).</w:t>
      </w:r>
      <w:r w:rsidR="00CD22A9">
        <w:rPr>
          <w:b w:val="0"/>
          <w:i/>
          <w:sz w:val="24"/>
          <w:szCs w:val="24"/>
        </w:rPr>
        <w:t xml:space="preserve"> U skúmaných žiakov sa potvrdila </w:t>
      </w:r>
      <w:r w:rsidR="00CD22A9" w:rsidRPr="00CD22A9">
        <w:rPr>
          <w:i/>
          <w:sz w:val="24"/>
          <w:szCs w:val="24"/>
        </w:rPr>
        <w:t>prevaha znalostí komplexného  dokumentu popisujúceho práva dieťaťa (Dohovor o právach dieťaťa)</w:t>
      </w:r>
      <w:r w:rsidR="00CD22A9">
        <w:rPr>
          <w:b w:val="0"/>
          <w:i/>
          <w:sz w:val="24"/>
          <w:szCs w:val="24"/>
        </w:rPr>
        <w:t xml:space="preserve"> ako aj </w:t>
      </w:r>
    </w:p>
    <w:p w:rsidR="00CD22A9" w:rsidRDefault="00CD22A9" w:rsidP="00AB29A3">
      <w:pPr>
        <w:spacing w:after="120"/>
        <w:jc w:val="both"/>
        <w:rPr>
          <w:b/>
          <w:i/>
          <w:sz w:val="24"/>
          <w:szCs w:val="24"/>
        </w:rPr>
      </w:pPr>
      <w:r w:rsidRPr="00CD22A9">
        <w:rPr>
          <w:b/>
          <w:i/>
          <w:sz w:val="24"/>
          <w:szCs w:val="24"/>
        </w:rPr>
        <w:t>znalosť</w:t>
      </w:r>
      <w:r w:rsidRPr="00CD22A9">
        <w:rPr>
          <w:i/>
          <w:sz w:val="24"/>
          <w:szCs w:val="24"/>
        </w:rPr>
        <w:t xml:space="preserve"> iných dokumentov </w:t>
      </w:r>
      <w:r w:rsidRPr="00CD22A9">
        <w:rPr>
          <w:b/>
          <w:i/>
          <w:sz w:val="24"/>
          <w:szCs w:val="24"/>
        </w:rPr>
        <w:t>venujúcich sa ľudským právam a právam dieťaťa</w:t>
      </w:r>
      <w:r>
        <w:rPr>
          <w:b/>
          <w:i/>
          <w:sz w:val="24"/>
          <w:szCs w:val="24"/>
        </w:rPr>
        <w:t>.</w:t>
      </w:r>
      <w:r w:rsidR="00DA6A95">
        <w:rPr>
          <w:b/>
          <w:i/>
          <w:sz w:val="24"/>
          <w:szCs w:val="24"/>
        </w:rPr>
        <w:t xml:space="preserve"> Hoci do roku 2009 sledujeme</w:t>
      </w:r>
      <w:r>
        <w:rPr>
          <w:b/>
          <w:i/>
          <w:sz w:val="24"/>
          <w:szCs w:val="24"/>
        </w:rPr>
        <w:t xml:space="preserve"> výraznejší pokles vedomostí u skúmaných žiakov</w:t>
      </w:r>
      <w:r w:rsidR="00DA6A95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v súčasnosti zaznamenávame </w:t>
      </w:r>
      <w:r w:rsidR="00DA6A95">
        <w:rPr>
          <w:b/>
          <w:i/>
          <w:sz w:val="24"/>
          <w:szCs w:val="24"/>
        </w:rPr>
        <w:t xml:space="preserve">už spomínaný pozitívny trend. </w:t>
      </w:r>
      <w:r w:rsidR="00AB29A3" w:rsidRPr="006D1855">
        <w:rPr>
          <w:i/>
          <w:sz w:val="24"/>
          <w:szCs w:val="24"/>
          <w:lang w:eastAsia="cs-CZ"/>
        </w:rPr>
        <w:t xml:space="preserve">Priestor pre vzdelávanie v oblasti ľudských práv vytvára predovšetkým predmet </w:t>
      </w:r>
      <w:r w:rsidR="00AB29A3" w:rsidRPr="006D1855">
        <w:rPr>
          <w:b/>
          <w:i/>
          <w:sz w:val="24"/>
          <w:szCs w:val="24"/>
        </w:rPr>
        <w:t>občianska náuka</w:t>
      </w:r>
      <w:r w:rsidR="00AB29A3" w:rsidRPr="006D1855">
        <w:rPr>
          <w:i/>
          <w:sz w:val="24"/>
          <w:szCs w:val="24"/>
        </w:rPr>
        <w:t xml:space="preserve">, ale aj etika, dejepis a iný predmet,  náuka o spoločnosti, matematika, prírodovedné predmety, slovenský jazyk  a náboženská výchova. Najčastejšie uvádzaným zdrojom poznatkov a informácií z oblasti ľudských práv a práv dieťaťa  je jednoznačne učiteľ. </w:t>
      </w:r>
      <w:r w:rsidR="00AB29A3" w:rsidRPr="00652175">
        <w:rPr>
          <w:i/>
          <w:sz w:val="24"/>
          <w:szCs w:val="24"/>
        </w:rPr>
        <w:t>Až 86,3%</w:t>
      </w:r>
      <w:r w:rsidR="00AB29A3" w:rsidRPr="006D1855">
        <w:rPr>
          <w:i/>
          <w:sz w:val="24"/>
          <w:szCs w:val="24"/>
        </w:rPr>
        <w:t xml:space="preserve"> oslovených žiakov základných a stredných škôl označilo </w:t>
      </w:r>
      <w:r w:rsidR="00AB29A3" w:rsidRPr="006D1855">
        <w:rPr>
          <w:b/>
          <w:i/>
          <w:sz w:val="24"/>
          <w:szCs w:val="24"/>
        </w:rPr>
        <w:t>učiteľa</w:t>
      </w:r>
      <w:r w:rsidR="00AB29A3" w:rsidRPr="006D1855">
        <w:rPr>
          <w:i/>
          <w:sz w:val="24"/>
          <w:szCs w:val="24"/>
        </w:rPr>
        <w:t xml:space="preserve"> za osobu, ktorá ich oboznámila s ľudskými právami. Nasledujú </w:t>
      </w:r>
      <w:r w:rsidR="00AB29A3" w:rsidRPr="006D1855">
        <w:rPr>
          <w:b/>
          <w:i/>
          <w:sz w:val="24"/>
          <w:szCs w:val="24"/>
        </w:rPr>
        <w:t xml:space="preserve">rodičia </w:t>
      </w:r>
      <w:r w:rsidR="00AB29A3" w:rsidRPr="006D1855">
        <w:rPr>
          <w:i/>
          <w:sz w:val="24"/>
          <w:szCs w:val="24"/>
        </w:rPr>
        <w:t xml:space="preserve">(54,2%), </w:t>
      </w:r>
      <w:r w:rsidR="00AB29A3" w:rsidRPr="006D1855">
        <w:rPr>
          <w:b/>
          <w:i/>
          <w:sz w:val="24"/>
          <w:szCs w:val="24"/>
        </w:rPr>
        <w:t>médiá</w:t>
      </w:r>
      <w:r w:rsidR="00AB29A3" w:rsidRPr="006D1855">
        <w:rPr>
          <w:i/>
          <w:sz w:val="24"/>
          <w:szCs w:val="24"/>
        </w:rPr>
        <w:t xml:space="preserve"> (televízia, rozhlas, tlač – 37,2%) a stále zvyšujúci sa podiel </w:t>
      </w:r>
      <w:r w:rsidR="00AB29A3" w:rsidRPr="006D1855">
        <w:rPr>
          <w:b/>
          <w:i/>
          <w:sz w:val="24"/>
          <w:szCs w:val="24"/>
        </w:rPr>
        <w:t xml:space="preserve">internetu </w:t>
      </w:r>
      <w:r w:rsidR="00AB29A3" w:rsidRPr="00652175">
        <w:rPr>
          <w:i/>
          <w:sz w:val="24"/>
          <w:szCs w:val="24"/>
        </w:rPr>
        <w:t>(35,1%)</w:t>
      </w:r>
      <w:r w:rsidR="00AB29A3" w:rsidRPr="006D1855">
        <w:rPr>
          <w:b/>
          <w:i/>
          <w:sz w:val="24"/>
          <w:szCs w:val="24"/>
        </w:rPr>
        <w:t xml:space="preserve">. </w:t>
      </w:r>
      <w:r w:rsidR="00AB29A3" w:rsidRPr="006D1855">
        <w:rPr>
          <w:i/>
          <w:sz w:val="24"/>
          <w:szCs w:val="24"/>
        </w:rPr>
        <w:t>Približne</w:t>
      </w:r>
      <w:r w:rsidR="00AB29A3" w:rsidRPr="006D1855">
        <w:rPr>
          <w:b/>
          <w:i/>
          <w:sz w:val="24"/>
          <w:szCs w:val="24"/>
        </w:rPr>
        <w:t xml:space="preserve"> každý desiaty</w:t>
      </w:r>
      <w:r w:rsidR="00AB29A3" w:rsidRPr="006D1855">
        <w:rPr>
          <w:i/>
          <w:sz w:val="24"/>
          <w:szCs w:val="24"/>
        </w:rPr>
        <w:t xml:space="preserve">  žiak sa oboznámil so základnými právami dieťaťa a ľudskými právami prostredníctvom </w:t>
      </w:r>
      <w:r w:rsidR="00AB29A3" w:rsidRPr="006D1855">
        <w:rPr>
          <w:b/>
          <w:i/>
          <w:sz w:val="24"/>
          <w:szCs w:val="24"/>
        </w:rPr>
        <w:t xml:space="preserve">kamarátov. </w:t>
      </w:r>
    </w:p>
    <w:p w:rsidR="006D1855" w:rsidRPr="005218DA" w:rsidRDefault="006D1855" w:rsidP="006D1855">
      <w:pPr>
        <w:spacing w:after="120"/>
        <w:jc w:val="both"/>
        <w:rPr>
          <w:i/>
          <w:sz w:val="24"/>
          <w:szCs w:val="24"/>
        </w:rPr>
      </w:pPr>
      <w:r w:rsidRPr="005218DA">
        <w:rPr>
          <w:i/>
          <w:sz w:val="24"/>
          <w:szCs w:val="24"/>
        </w:rPr>
        <w:t xml:space="preserve">Hoci </w:t>
      </w:r>
      <w:r w:rsidR="005218DA">
        <w:rPr>
          <w:i/>
          <w:sz w:val="24"/>
          <w:szCs w:val="24"/>
        </w:rPr>
        <w:t>zistenia</w:t>
      </w:r>
      <w:r w:rsidRPr="005218DA">
        <w:rPr>
          <w:i/>
          <w:sz w:val="24"/>
          <w:szCs w:val="24"/>
        </w:rPr>
        <w:t xml:space="preserve"> dlho</w:t>
      </w:r>
      <w:r w:rsidR="005218DA" w:rsidRPr="005218DA">
        <w:rPr>
          <w:i/>
          <w:sz w:val="24"/>
          <w:szCs w:val="24"/>
        </w:rPr>
        <w:t xml:space="preserve">dobého monitoringu dokumentujú </w:t>
      </w:r>
      <w:r w:rsidRPr="005218DA">
        <w:rPr>
          <w:i/>
          <w:sz w:val="24"/>
          <w:szCs w:val="24"/>
        </w:rPr>
        <w:t>už naznačené pozitívne t</w:t>
      </w:r>
      <w:r w:rsidR="005218DA">
        <w:rPr>
          <w:i/>
          <w:sz w:val="24"/>
          <w:szCs w:val="24"/>
        </w:rPr>
        <w:t xml:space="preserve">rendy vo vzdelávaní </w:t>
      </w:r>
      <w:r w:rsidRPr="005218DA">
        <w:rPr>
          <w:i/>
          <w:sz w:val="24"/>
          <w:szCs w:val="24"/>
        </w:rPr>
        <w:t>ľudských práv</w:t>
      </w:r>
      <w:r w:rsidR="005218DA">
        <w:rPr>
          <w:i/>
          <w:sz w:val="24"/>
          <w:szCs w:val="24"/>
        </w:rPr>
        <w:t xml:space="preserve"> je </w:t>
      </w:r>
      <w:r w:rsidR="005218DA" w:rsidRPr="005218DA">
        <w:rPr>
          <w:i/>
          <w:sz w:val="24"/>
          <w:szCs w:val="24"/>
        </w:rPr>
        <w:t xml:space="preserve">v sledovanej oblasti </w:t>
      </w:r>
      <w:r w:rsidR="005218DA">
        <w:rPr>
          <w:i/>
          <w:sz w:val="24"/>
          <w:szCs w:val="24"/>
        </w:rPr>
        <w:t>ešte veľa práce.  Je potrebné získané teoretické vedomosti a poznatky skĺbiť s reálnou praxou a formovať tak postoje žiakov v konkrétnych životných situáciách v školskom, rodinnom a občianskom živote. Len tak sa dosiahne želateľný výsledok.</w:t>
      </w:r>
      <w:r w:rsidRPr="005218DA">
        <w:rPr>
          <w:i/>
          <w:sz w:val="24"/>
          <w:szCs w:val="24"/>
        </w:rPr>
        <w:t xml:space="preserve"> </w:t>
      </w:r>
    </w:p>
    <w:p w:rsidR="00AE10E3" w:rsidRDefault="00AE10E3" w:rsidP="00DA6A95">
      <w:pPr>
        <w:pStyle w:val="Nadpis6"/>
        <w:spacing w:line="240" w:lineRule="auto"/>
        <w:jc w:val="both"/>
        <w:rPr>
          <w:b w:val="0"/>
          <w:i/>
          <w:sz w:val="24"/>
          <w:szCs w:val="24"/>
        </w:rPr>
      </w:pPr>
    </w:p>
    <w:p w:rsidR="00C018A0" w:rsidRDefault="00C018A0" w:rsidP="00C018A0">
      <w:pPr>
        <w:rPr>
          <w:b/>
          <w:sz w:val="24"/>
          <w:szCs w:val="24"/>
          <w:lang w:eastAsia="cs-CZ"/>
        </w:rPr>
      </w:pPr>
    </w:p>
    <w:p w:rsidR="00C018A0" w:rsidRDefault="00C018A0" w:rsidP="00C018A0">
      <w:pPr>
        <w:rPr>
          <w:b/>
          <w:sz w:val="24"/>
          <w:szCs w:val="24"/>
          <w:lang w:eastAsia="cs-CZ"/>
        </w:rPr>
      </w:pPr>
    </w:p>
    <w:p w:rsidR="00C018A0" w:rsidRDefault="00C018A0" w:rsidP="00C018A0">
      <w:pPr>
        <w:rPr>
          <w:b/>
          <w:sz w:val="24"/>
          <w:szCs w:val="24"/>
          <w:lang w:eastAsia="cs-CZ"/>
        </w:rPr>
      </w:pPr>
    </w:p>
    <w:p w:rsidR="00C018A0" w:rsidRDefault="00C018A0" w:rsidP="00C018A0">
      <w:pPr>
        <w:rPr>
          <w:b/>
          <w:sz w:val="24"/>
          <w:szCs w:val="24"/>
          <w:lang w:eastAsia="cs-CZ"/>
        </w:rPr>
      </w:pPr>
    </w:p>
    <w:p w:rsidR="00C018A0" w:rsidRDefault="00C018A0" w:rsidP="00C018A0">
      <w:pPr>
        <w:rPr>
          <w:b/>
          <w:sz w:val="24"/>
          <w:szCs w:val="24"/>
          <w:lang w:eastAsia="cs-CZ"/>
        </w:rPr>
      </w:pPr>
    </w:p>
    <w:p w:rsidR="00C018A0" w:rsidRDefault="00C018A0" w:rsidP="00C018A0">
      <w:pPr>
        <w:rPr>
          <w:b/>
          <w:sz w:val="24"/>
          <w:szCs w:val="24"/>
          <w:lang w:eastAsia="cs-CZ"/>
        </w:rPr>
      </w:pPr>
    </w:p>
    <w:p w:rsidR="00C018A0" w:rsidRPr="00C018A0" w:rsidRDefault="00C018A0" w:rsidP="00C018A0">
      <w:pPr>
        <w:rPr>
          <w:b/>
          <w:sz w:val="24"/>
          <w:szCs w:val="24"/>
          <w:lang w:eastAsia="cs-CZ"/>
        </w:rPr>
      </w:pPr>
      <w:r w:rsidRPr="00C018A0">
        <w:rPr>
          <w:b/>
          <w:sz w:val="24"/>
          <w:szCs w:val="24"/>
          <w:lang w:eastAsia="cs-CZ"/>
        </w:rPr>
        <w:lastRenderedPageBreak/>
        <w:t>Anotácia</w:t>
      </w:r>
    </w:p>
    <w:p w:rsidR="00C018A0" w:rsidRDefault="00C018A0" w:rsidP="00C018A0">
      <w:pPr>
        <w:jc w:val="both"/>
        <w:rPr>
          <w:sz w:val="24"/>
          <w:szCs w:val="24"/>
          <w:lang w:eastAsia="cs-CZ"/>
        </w:rPr>
      </w:pPr>
      <w:r w:rsidRPr="00C018A0">
        <w:rPr>
          <w:sz w:val="24"/>
          <w:szCs w:val="24"/>
          <w:lang w:eastAsia="cs-CZ"/>
        </w:rPr>
        <w:t xml:space="preserve">Vzdelávanie a uplatňovanie ľudských práv v školskom a rodinnom prostredí sú témou dlhodobého výskumu realizovaného v oddelení </w:t>
      </w:r>
      <w:r>
        <w:rPr>
          <w:sz w:val="24"/>
          <w:szCs w:val="24"/>
          <w:lang w:eastAsia="cs-CZ"/>
        </w:rPr>
        <w:t>prevenci</w:t>
      </w:r>
      <w:r w:rsidRPr="00C018A0">
        <w:rPr>
          <w:sz w:val="24"/>
          <w:szCs w:val="24"/>
          <w:lang w:eastAsia="cs-CZ"/>
        </w:rPr>
        <w:t>e a výskumov v oblasti mládeže Centra vedecko</w:t>
      </w:r>
      <w:r>
        <w:rPr>
          <w:sz w:val="24"/>
          <w:szCs w:val="24"/>
          <w:lang w:eastAsia="cs-CZ"/>
        </w:rPr>
        <w:t>-</w:t>
      </w:r>
      <w:r w:rsidRPr="00C018A0">
        <w:rPr>
          <w:sz w:val="24"/>
          <w:szCs w:val="24"/>
          <w:lang w:eastAsia="cs-CZ"/>
        </w:rPr>
        <w:t xml:space="preserve">technických informácií SR. V príspevku sú spracované najzaujímavejšie výsledky skúmania právneho vedomia žiakov základných a stredných škôl. Zistenia sú </w:t>
      </w:r>
      <w:proofErr w:type="spellStart"/>
      <w:r w:rsidRPr="00C018A0">
        <w:rPr>
          <w:sz w:val="24"/>
          <w:szCs w:val="24"/>
          <w:lang w:eastAsia="cs-CZ"/>
        </w:rPr>
        <w:t>komparované</w:t>
      </w:r>
      <w:proofErr w:type="spellEnd"/>
      <w:r w:rsidRPr="00C018A0">
        <w:rPr>
          <w:sz w:val="24"/>
          <w:szCs w:val="24"/>
          <w:lang w:eastAsia="cs-CZ"/>
        </w:rPr>
        <w:t xml:space="preserve"> s predchádzajúcimi výsledkami s cieľom poukázať na vývojové trendy skúmaného javu.</w:t>
      </w:r>
    </w:p>
    <w:p w:rsidR="00C018A0" w:rsidRDefault="00C018A0" w:rsidP="00C018A0">
      <w:pPr>
        <w:jc w:val="both"/>
        <w:rPr>
          <w:sz w:val="24"/>
          <w:szCs w:val="24"/>
          <w:lang w:eastAsia="cs-CZ"/>
        </w:rPr>
      </w:pPr>
    </w:p>
    <w:p w:rsidR="00C018A0" w:rsidRDefault="00C018A0" w:rsidP="00C018A0">
      <w:pPr>
        <w:jc w:val="both"/>
        <w:rPr>
          <w:b/>
          <w:sz w:val="24"/>
          <w:szCs w:val="24"/>
          <w:lang w:eastAsia="cs-CZ"/>
        </w:rPr>
      </w:pPr>
      <w:r w:rsidRPr="00C018A0">
        <w:rPr>
          <w:b/>
          <w:sz w:val="24"/>
          <w:szCs w:val="24"/>
          <w:lang w:eastAsia="cs-CZ"/>
        </w:rPr>
        <w:t>Kľúčové slová</w:t>
      </w:r>
    </w:p>
    <w:p w:rsidR="00C018A0" w:rsidRPr="00C018A0" w:rsidRDefault="00C018A0" w:rsidP="00C018A0">
      <w:pPr>
        <w:jc w:val="both"/>
        <w:rPr>
          <w:sz w:val="24"/>
          <w:szCs w:val="24"/>
          <w:lang w:eastAsia="cs-CZ"/>
        </w:rPr>
      </w:pPr>
      <w:r w:rsidRPr="00C018A0">
        <w:rPr>
          <w:sz w:val="24"/>
          <w:szCs w:val="24"/>
          <w:lang w:eastAsia="cs-CZ"/>
        </w:rPr>
        <w:t>Ľudské práva, právne vedomie, žiaci základných a stredných škôl</w:t>
      </w:r>
    </w:p>
    <w:sectPr w:rsidR="00C018A0" w:rsidRPr="00C01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86" w:rsidRDefault="00413C86" w:rsidP="00AE10E3">
      <w:r>
        <w:separator/>
      </w:r>
    </w:p>
  </w:endnote>
  <w:endnote w:type="continuationSeparator" w:id="0">
    <w:p w:rsidR="00413C86" w:rsidRDefault="00413C86" w:rsidP="00AE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86" w:rsidRDefault="00413C86" w:rsidP="00AE10E3">
      <w:r>
        <w:separator/>
      </w:r>
    </w:p>
  </w:footnote>
  <w:footnote w:type="continuationSeparator" w:id="0">
    <w:p w:rsidR="00413C86" w:rsidRDefault="00413C86" w:rsidP="00AE10E3">
      <w:r>
        <w:continuationSeparator/>
      </w:r>
    </w:p>
  </w:footnote>
  <w:footnote w:id="1">
    <w:p w:rsidR="00AE10E3" w:rsidRDefault="00AE10E3" w:rsidP="00AE10E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Kredátus</w:t>
      </w:r>
      <w:proofErr w:type="spellEnd"/>
      <w:r>
        <w:t>, J.: Ľudské práva v edukačnom procese. MPC Bratislava 2012, s. 68 ISBN 978-80-8052-408-1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1B8"/>
    <w:multiLevelType w:val="hybridMultilevel"/>
    <w:tmpl w:val="A10A9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A4"/>
    <w:rsid w:val="00006864"/>
    <w:rsid w:val="00086FAF"/>
    <w:rsid w:val="000E5EEC"/>
    <w:rsid w:val="001B43FD"/>
    <w:rsid w:val="0023554A"/>
    <w:rsid w:val="00276FC6"/>
    <w:rsid w:val="00413C86"/>
    <w:rsid w:val="0044417C"/>
    <w:rsid w:val="005218DA"/>
    <w:rsid w:val="00587B8D"/>
    <w:rsid w:val="005B1463"/>
    <w:rsid w:val="005F2129"/>
    <w:rsid w:val="0061308F"/>
    <w:rsid w:val="00641F4A"/>
    <w:rsid w:val="00652175"/>
    <w:rsid w:val="00654156"/>
    <w:rsid w:val="00663E52"/>
    <w:rsid w:val="006D1855"/>
    <w:rsid w:val="00786335"/>
    <w:rsid w:val="00823214"/>
    <w:rsid w:val="00837519"/>
    <w:rsid w:val="00880940"/>
    <w:rsid w:val="008B0C09"/>
    <w:rsid w:val="0097311C"/>
    <w:rsid w:val="00980346"/>
    <w:rsid w:val="009B3D10"/>
    <w:rsid w:val="00A05AA5"/>
    <w:rsid w:val="00A120C2"/>
    <w:rsid w:val="00A95A34"/>
    <w:rsid w:val="00AB29A3"/>
    <w:rsid w:val="00AE10E3"/>
    <w:rsid w:val="00B34E76"/>
    <w:rsid w:val="00B52264"/>
    <w:rsid w:val="00B54FC6"/>
    <w:rsid w:val="00C018A0"/>
    <w:rsid w:val="00CB1291"/>
    <w:rsid w:val="00CD22A9"/>
    <w:rsid w:val="00CF68CD"/>
    <w:rsid w:val="00D00676"/>
    <w:rsid w:val="00D057D5"/>
    <w:rsid w:val="00DA6A95"/>
    <w:rsid w:val="00DE0FD2"/>
    <w:rsid w:val="00DE17A4"/>
    <w:rsid w:val="00E40FA3"/>
    <w:rsid w:val="00E63264"/>
    <w:rsid w:val="00E73D32"/>
    <w:rsid w:val="00EC6F20"/>
    <w:rsid w:val="00F15459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E10E3"/>
    <w:pPr>
      <w:keepNext/>
      <w:outlineLvl w:val="2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E10E3"/>
    <w:pPr>
      <w:keepNext/>
      <w:spacing w:before="240" w:after="60"/>
      <w:outlineLvl w:val="3"/>
    </w:pPr>
    <w:rPr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nhideWhenUsed/>
    <w:qFormat/>
    <w:rsid w:val="00AE10E3"/>
    <w:pPr>
      <w:keepNext/>
      <w:snapToGrid w:val="0"/>
      <w:spacing w:line="360" w:lineRule="auto"/>
      <w:jc w:val="center"/>
      <w:outlineLvl w:val="5"/>
    </w:pPr>
    <w:rPr>
      <w:b/>
      <w:color w:val="000000"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AE10E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Predvolenpsmoodseku"/>
    <w:link w:val="Nadpis4"/>
    <w:semiHidden/>
    <w:rsid w:val="00AE10E3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0E3"/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AE10E3"/>
    <w:rPr>
      <w:rFonts w:ascii="Verdana" w:hAnsi="Verdana"/>
      <w:color w:val="000000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0E3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0E3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E10E3"/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10E3"/>
    <w:rPr>
      <w:rFonts w:ascii="Times New Roman" w:eastAsia="Times New Roman" w:hAnsi="Times New Roman" w:cs="Times New Roman"/>
      <w:sz w:val="24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E10E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10E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semiHidden/>
    <w:unhideWhenUsed/>
    <w:rsid w:val="00AE10E3"/>
    <w:rPr>
      <w:vertAlign w:val="superscript"/>
    </w:rPr>
  </w:style>
  <w:style w:type="character" w:styleId="Siln">
    <w:name w:val="Strong"/>
    <w:basedOn w:val="Predvolenpsmoodseku"/>
    <w:uiPriority w:val="22"/>
    <w:qFormat/>
    <w:rsid w:val="00AE10E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10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0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E10E3"/>
    <w:pPr>
      <w:keepNext/>
      <w:outlineLvl w:val="2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E10E3"/>
    <w:pPr>
      <w:keepNext/>
      <w:spacing w:before="240" w:after="60"/>
      <w:outlineLvl w:val="3"/>
    </w:pPr>
    <w:rPr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nhideWhenUsed/>
    <w:qFormat/>
    <w:rsid w:val="00AE10E3"/>
    <w:pPr>
      <w:keepNext/>
      <w:snapToGrid w:val="0"/>
      <w:spacing w:line="360" w:lineRule="auto"/>
      <w:jc w:val="center"/>
      <w:outlineLvl w:val="5"/>
    </w:pPr>
    <w:rPr>
      <w:b/>
      <w:color w:val="000000"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AE10E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Predvolenpsmoodseku"/>
    <w:link w:val="Nadpis4"/>
    <w:semiHidden/>
    <w:rsid w:val="00AE10E3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0E3"/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AE10E3"/>
    <w:rPr>
      <w:rFonts w:ascii="Verdana" w:hAnsi="Verdana"/>
      <w:color w:val="000000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0E3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0E3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E10E3"/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10E3"/>
    <w:rPr>
      <w:rFonts w:ascii="Times New Roman" w:eastAsia="Times New Roman" w:hAnsi="Times New Roman" w:cs="Times New Roman"/>
      <w:sz w:val="24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E10E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10E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semiHidden/>
    <w:unhideWhenUsed/>
    <w:rsid w:val="00AE10E3"/>
    <w:rPr>
      <w:vertAlign w:val="superscript"/>
    </w:rPr>
  </w:style>
  <w:style w:type="character" w:styleId="Siln">
    <w:name w:val="Strong"/>
    <w:basedOn w:val="Predvolenpsmoodseku"/>
    <w:uiPriority w:val="22"/>
    <w:qFormat/>
    <w:rsid w:val="00AE10E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10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0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50">
                <a:latin typeface="Arial" panose="020B0604020202020204" pitchFamily="34" charset="0"/>
                <a:cs typeface="Arial" panose="020B0604020202020204" pitchFamily="34" charset="0"/>
              </a:rPr>
              <a:t>Znalosť práv definovaných pre deti (v %)</a:t>
            </a:r>
          </a:p>
          <a:p>
            <a:pPr>
              <a:defRPr sz="105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 sz="105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105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</c:rich>
      </c:tx>
      <c:layout>
        <c:manualLayout>
          <c:xMode val="edge"/>
          <c:yMode val="edge"/>
          <c:x val="0.25752505552190591"/>
          <c:y val="2.0833227641855717E-2"/>
        </c:manualLayout>
      </c:layout>
      <c:overlay val="0"/>
      <c:spPr>
        <a:noFill/>
        <a:ln w="24283">
          <a:noFill/>
        </a:ln>
      </c:spPr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  <c:spPr>
        <a:solidFill>
          <a:schemeClr val="bg1">
            <a:lumMod val="95000"/>
            <a:alpha val="77000"/>
          </a:schemeClr>
        </a:solidFill>
        <a:ln w="24283">
          <a:noFill/>
        </a:ln>
      </c:spPr>
    </c:sideWall>
    <c:backWall>
      <c:thickness val="0"/>
      <c:spPr>
        <a:solidFill>
          <a:schemeClr val="bg1">
            <a:lumMod val="95000"/>
            <a:alpha val="77000"/>
          </a:schemeClr>
        </a:solidFill>
        <a:ln w="24283">
          <a:noFill/>
        </a:ln>
      </c:spPr>
    </c:backWall>
    <c:plotArea>
      <c:layout>
        <c:manualLayout>
          <c:layoutTarget val="inner"/>
          <c:xMode val="edge"/>
          <c:yMode val="edge"/>
          <c:x val="0.32512765752189715"/>
          <c:y val="0.13413043309154507"/>
          <c:w val="0.64066944103469947"/>
          <c:h val="0.75284874325207163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rgbClr val="00B050"/>
            </a:solidFill>
            <a:ln w="1214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0512820512820513E-3"/>
                  <c:y val="4.29530165024136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1538461538461538E-3"/>
                  <c:y val="-8.59060330048273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2051282051282051E-3"/>
                  <c:y val="4.2949634375130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0256410256410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1538461538461538E-3"/>
                  <c:y val="4.29530165024136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205128205128205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2051282051281305E-3"/>
                  <c:y val="4.29530165024136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1538461538461538E-3"/>
                  <c:y val="-4.29530165024136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15384615384615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83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Hárok1!$A$1:$A$9</c:f>
              <c:strCache>
                <c:ptCount val="9"/>
                <c:pt idx="0">
                  <c:v> vzdelanie</c:v>
                </c:pt>
                <c:pt idx="1">
                  <c:v> združovanie a voľný čas</c:v>
                </c:pt>
                <c:pt idx="2">
                  <c:v> uznanie a identitu</c:v>
                </c:pt>
                <c:pt idx="3">
                  <c:v> výchovu, rodinný život, starostlivosť</c:v>
                </c:pt>
                <c:pt idx="4">
                  <c:v> zdravie, lekársku starostlivosť</c:v>
                </c:pt>
                <c:pt idx="5">
                  <c:v> slobodu prejavu, prístup k informáciám, náboženstvo</c:v>
                </c:pt>
                <c:pt idx="6">
                  <c:v> život</c:v>
                </c:pt>
                <c:pt idx="7">
                  <c:v> zabezpečenie, súkromie</c:v>
                </c:pt>
                <c:pt idx="8">
                  <c:v>iné</c:v>
                </c:pt>
              </c:strCache>
            </c:strRef>
          </c:cat>
          <c:val>
            <c:numRef>
              <c:f>Hárok1!$B$1:$B$9</c:f>
              <c:numCache>
                <c:formatCode>0.0</c:formatCode>
                <c:ptCount val="9"/>
                <c:pt idx="0">
                  <c:v>70.5</c:v>
                </c:pt>
                <c:pt idx="1">
                  <c:v>10.3</c:v>
                </c:pt>
                <c:pt idx="2">
                  <c:v>7.5</c:v>
                </c:pt>
                <c:pt idx="3">
                  <c:v>40.700000000000003</c:v>
                </c:pt>
                <c:pt idx="4">
                  <c:v>16.399999999999999</c:v>
                </c:pt>
                <c:pt idx="5">
                  <c:v>41.1</c:v>
                </c:pt>
                <c:pt idx="6">
                  <c:v>29.5</c:v>
                </c:pt>
                <c:pt idx="7">
                  <c:v>6.6</c:v>
                </c:pt>
                <c:pt idx="8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shape val="box"/>
        <c:axId val="101828480"/>
        <c:axId val="101830016"/>
        <c:axId val="0"/>
      </c:bar3DChart>
      <c:catAx>
        <c:axId val="1018284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0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01830016"/>
        <c:crosses val="autoZero"/>
        <c:auto val="1"/>
        <c:lblAlgn val="ctr"/>
        <c:lblOffset val="100"/>
        <c:noMultiLvlLbl val="0"/>
      </c:catAx>
      <c:valAx>
        <c:axId val="101830016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ln w="30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01828480"/>
        <c:crosses val="autoZero"/>
        <c:crossBetween val="between"/>
        <c:majorUnit val="10"/>
        <c:minorUnit val="2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50">
                <a:latin typeface="Arial" panose="020B0604020202020204" pitchFamily="34" charset="0"/>
                <a:cs typeface="Arial" panose="020B0604020202020204" pitchFamily="34" charset="0"/>
              </a:rPr>
              <a:t>Neinformovanosť žiakov o ľudských právach 
  podľa veľkosti bydliska (v %)</a:t>
            </a:r>
          </a:p>
        </c:rich>
      </c:tx>
      <c:layout>
        <c:manualLayout>
          <c:xMode val="edge"/>
          <c:yMode val="edge"/>
          <c:x val="0.23267516317741835"/>
          <c:y val="9.3398702520675612E-4"/>
        </c:manualLayout>
      </c:layout>
      <c:overlay val="0"/>
      <c:spPr>
        <a:noFill/>
        <a:ln w="2253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1609832950568681E-2"/>
          <c:y val="0.18013133339321177"/>
          <c:w val="0.93254514040016356"/>
          <c:h val="0.6973427552325189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  <a:ln w="1126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7031158142269254E-3"/>
                  <c:y val="0.1636363636363636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636363636363636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515579071134627E-3"/>
                  <c:y val="0.151515151515151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218181818181818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81818181818181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95000"/>
                </a:schemeClr>
              </a:solidFill>
              <a:ln w="22530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Hárok1!$A$1:$E$1</c:f>
              <c:strCache>
                <c:ptCount val="5"/>
                <c:pt idx="0">
                  <c:v>do 2 000</c:v>
                </c:pt>
                <c:pt idx="1">
                  <c:v> 2 001 - 10 000</c:v>
                </c:pt>
                <c:pt idx="2">
                  <c:v>10 001 - 50 000</c:v>
                </c:pt>
                <c:pt idx="3">
                  <c:v>50 001 - 100 000</c:v>
                </c:pt>
                <c:pt idx="4">
                  <c:v>nad 100 000</c:v>
                </c:pt>
              </c:strCache>
            </c:strRef>
          </c:cat>
          <c:val>
            <c:numRef>
              <c:f>Hárok1!$A$2:$E$2</c:f>
              <c:numCache>
                <c:formatCode>0.0</c:formatCode>
                <c:ptCount val="5"/>
                <c:pt idx="0">
                  <c:v>3.9</c:v>
                </c:pt>
                <c:pt idx="1">
                  <c:v>5.2</c:v>
                </c:pt>
                <c:pt idx="2">
                  <c:v>3</c:v>
                </c:pt>
                <c:pt idx="3">
                  <c:v>7.7</c:v>
                </c:pt>
                <c:pt idx="4">
                  <c:v>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866624"/>
        <c:axId val="113967872"/>
      </c:barChart>
      <c:catAx>
        <c:axId val="11586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8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3967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96787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28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5866624"/>
        <c:crosses val="autoZero"/>
        <c:crossBetween val="between"/>
      </c:valAx>
      <c:spPr>
        <a:noFill/>
        <a:ln w="2253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1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00">
                <a:latin typeface="Arial" panose="020B0604020202020204" pitchFamily="34" charset="0"/>
                <a:cs typeface="Arial" panose="020B0604020202020204" pitchFamily="34" charset="0"/>
              </a:rPr>
              <a:t>Problematika ĽP vo </a:t>
            </a:r>
            <a:r>
              <a:rPr lang="sk-SK" sz="1050">
                <a:latin typeface="Arial" panose="020B0604020202020204" pitchFamily="34" charset="0"/>
                <a:cs typeface="Arial" panose="020B0604020202020204" pitchFamily="34" charset="0"/>
              </a:rPr>
              <a:t>vyučovacom</a:t>
            </a:r>
            <a:r>
              <a:rPr lang="sk-SK" sz="1000">
                <a:latin typeface="Arial" panose="020B0604020202020204" pitchFamily="34" charset="0"/>
                <a:cs typeface="Arial" panose="020B0604020202020204" pitchFamily="34" charset="0"/>
              </a:rPr>
              <a:t> procese (v %)</a:t>
            </a:r>
          </a:p>
        </c:rich>
      </c:tx>
      <c:layout>
        <c:manualLayout>
          <c:xMode val="edge"/>
          <c:yMode val="edge"/>
          <c:x val="0.2141592522804697"/>
          <c:y val="1.809946245802244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331"/>
      <c:rotY val="0"/>
      <c:depthPercent val="100"/>
      <c:rAngAx val="0"/>
      <c:perspective val="30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368016008442809"/>
          <c:y val="0.18386955662800214"/>
          <c:w val="0.84778761061946906"/>
          <c:h val="0.67937727542121751"/>
        </c:manualLayout>
      </c:layout>
      <c:bar3DChart>
        <c:barDir val="bar"/>
        <c:grouping val="stack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00" mc:Ignorable="a14" a14:legacySpreadsheetColorIndex="34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34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2968490878938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701492537313515E-2"/>
                  <c:y val="-6.033182503770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73908236594803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Hárok1!$A$1:$A$3</c:f>
              <c:strCache>
                <c:ptCount val="3"/>
                <c:pt idx="0">
                  <c:v>áno</c:v>
                </c:pt>
                <c:pt idx="1">
                  <c:v>nie</c:v>
                </c:pt>
                <c:pt idx="2">
                  <c:v>neviem</c:v>
                </c:pt>
              </c:strCache>
            </c:strRef>
          </c:cat>
          <c:val>
            <c:numRef>
              <c:f>Hárok1!$B$1:$B$3</c:f>
              <c:numCache>
                <c:formatCode>0.0</c:formatCode>
                <c:ptCount val="3"/>
                <c:pt idx="0">
                  <c:v>37.700000000000003</c:v>
                </c:pt>
                <c:pt idx="1">
                  <c:v>31.8</c:v>
                </c:pt>
                <c:pt idx="2">
                  <c:v>30.5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shape val="cylinder"/>
        <c:axId val="113998080"/>
        <c:axId val="114003968"/>
        <c:axId val="0"/>
      </c:bar3DChart>
      <c:catAx>
        <c:axId val="113998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4003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003968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39980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50">
                <a:latin typeface="Arial" panose="020B0604020202020204" pitchFamily="34" charset="0"/>
                <a:cs typeface="Arial" panose="020B0604020202020204" pitchFamily="34" charset="0"/>
              </a:rPr>
              <a:t>Znalosť Dohovoru o právach dieťaťa ( v %)</a:t>
            </a:r>
          </a:p>
        </c:rich>
      </c:tx>
      <c:layout>
        <c:manualLayout>
          <c:xMode val="edge"/>
          <c:yMode val="edge"/>
          <c:x val="0.28480076354092104"/>
          <c:y val="1.2047368486522185E-3"/>
        </c:manualLayout>
      </c:layout>
      <c:overlay val="0"/>
      <c:spPr>
        <a:noFill/>
        <a:ln w="16834">
          <a:noFill/>
        </a:ln>
      </c:spPr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336740932951568E-2"/>
          <c:y val="0.3088417628777998"/>
          <c:w val="0.8705374985087091"/>
          <c:h val="0.68484629076537851"/>
        </c:manualLayout>
      </c:layout>
      <c:pie3DChart>
        <c:varyColors val="1"/>
        <c:ser>
          <c:idx val="0"/>
          <c:order val="0"/>
          <c:spPr>
            <a:solidFill>
              <a:srgbClr val="00B050"/>
            </a:solidFill>
            <a:ln w="8417">
              <a:noFill/>
              <a:prstDash val="solid"/>
            </a:ln>
          </c:spPr>
          <c:explosion val="27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8417">
                <a:noFill/>
                <a:prstDash val="solid"/>
              </a:ln>
            </c:spPr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0.10706946432832259"/>
                  <c:y val="3.073682570500605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7968321253877356"/>
                  <c:y val="-0.177817926868730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16834">
                <a:noFill/>
              </a:ln>
            </c:spPr>
            <c:txPr>
              <a:bodyPr/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Hárok1!$A$1:$A$2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Hárok1!$B$1:$B$2</c:f>
              <c:numCache>
                <c:formatCode>0.0</c:formatCode>
                <c:ptCount val="2"/>
                <c:pt idx="0">
                  <c:v>34.799999999999997</c:v>
                </c:pt>
                <c:pt idx="1">
                  <c:v>65.2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1683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3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00">
                <a:latin typeface="Arial" panose="020B0604020202020204" pitchFamily="34" charset="0"/>
                <a:cs typeface="Arial" panose="020B0604020202020204" pitchFamily="34" charset="0"/>
              </a:rPr>
              <a:t>Znalosť Dohovoru</a:t>
            </a:r>
            <a:r>
              <a:rPr lang="sk-SK" sz="1000" baseline="0">
                <a:latin typeface="Arial" panose="020B0604020202020204" pitchFamily="34" charset="0"/>
                <a:cs typeface="Arial" panose="020B0604020202020204" pitchFamily="34" charset="0"/>
              </a:rPr>
              <a:t> o právach</a:t>
            </a:r>
            <a:r>
              <a:rPr lang="sk-SK" sz="1000">
                <a:latin typeface="Arial" panose="020B0604020202020204" pitchFamily="34" charset="0"/>
                <a:cs typeface="Arial" panose="020B0604020202020204" pitchFamily="34" charset="0"/>
              </a:rPr>
              <a:t>  dieťaťa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0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sk-SK" sz="1000">
                <a:latin typeface="Arial" panose="020B0604020202020204" pitchFamily="34" charset="0"/>
                <a:cs typeface="Arial" panose="020B0604020202020204" pitchFamily="34" charset="0"/>
              </a:rPr>
              <a:t>porovnanie</a:t>
            </a:r>
            <a:r>
              <a:rPr lang="sk-SK" sz="1000" baseline="0">
                <a:latin typeface="Arial" panose="020B0604020202020204" pitchFamily="34" charset="0"/>
                <a:cs typeface="Arial" panose="020B0604020202020204" pitchFamily="34" charset="0"/>
              </a:rPr>
              <a:t>  ZŠ a SŠ</a:t>
            </a:r>
            <a:r>
              <a:rPr lang="sk-SK" sz="1000">
                <a:latin typeface="Arial" panose="020B0604020202020204" pitchFamily="34" charset="0"/>
                <a:cs typeface="Arial" panose="020B0604020202020204" pitchFamily="34" charset="0"/>
              </a:rPr>
              <a:t> (v%)</a:t>
            </a:r>
          </a:p>
        </c:rich>
      </c:tx>
      <c:layout>
        <c:manualLayout>
          <c:xMode val="edge"/>
          <c:yMode val="edge"/>
          <c:x val="0.29333401066802139"/>
          <c:y val="4.7633285530030399E-2"/>
        </c:manualLayout>
      </c:layout>
      <c:overlay val="0"/>
      <c:spPr>
        <a:noFill/>
        <a:ln w="23389">
          <a:noFill/>
        </a:ln>
      </c:spPr>
    </c:title>
    <c:autoTitleDeleted val="0"/>
    <c:view3D>
      <c:rotX val="0"/>
      <c:rotY val="0"/>
      <c:depthPercent val="100"/>
      <c:rAngAx val="0"/>
      <c:perspective val="10"/>
    </c:view3D>
    <c:floor>
      <c:thickness val="0"/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95121951219512"/>
          <c:y val="0.28483356093403456"/>
          <c:w val="0.8623693379790941"/>
          <c:h val="0.5705648092065415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áno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1169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chemeClr val="accent3">
                  <a:lumMod val="75000"/>
                </a:schemeClr>
              </a:solidFill>
              <a:ln w="23389">
                <a:noFill/>
              </a:ln>
            </c:spPr>
            <c:txPr>
              <a:bodyPr/>
              <a:lstStyle/>
              <a:p>
                <a:pPr>
                  <a:defRPr sz="921" b="0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Hárok1!$A$2:$A$3</c:f>
              <c:strCache>
                <c:ptCount val="2"/>
                <c:pt idx="0">
                  <c:v>ZŠ</c:v>
                </c:pt>
                <c:pt idx="1">
                  <c:v>SŠ</c:v>
                </c:pt>
              </c:strCache>
            </c:strRef>
          </c:cat>
          <c:val>
            <c:numRef>
              <c:f>Hárok1!$B$2:$B$3</c:f>
              <c:numCache>
                <c:formatCode>0.0</c:formatCode>
                <c:ptCount val="2"/>
                <c:pt idx="0">
                  <c:v>37.799999999999997</c:v>
                </c:pt>
                <c:pt idx="1">
                  <c:v>31.7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 w="1169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chemeClr val="accent3">
                  <a:lumMod val="75000"/>
                </a:schemeClr>
              </a:solidFill>
              <a:ln w="23389">
                <a:noFill/>
              </a:ln>
            </c:spPr>
            <c:txPr>
              <a:bodyPr/>
              <a:lstStyle/>
              <a:p>
                <a:pPr>
                  <a:defRPr sz="921" b="0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Hárok1!$A$2:$A$3</c:f>
              <c:strCache>
                <c:ptCount val="2"/>
                <c:pt idx="0">
                  <c:v>ZŠ</c:v>
                </c:pt>
                <c:pt idx="1">
                  <c:v>SŠ</c:v>
                </c:pt>
              </c:strCache>
            </c:strRef>
          </c:cat>
          <c:val>
            <c:numRef>
              <c:f>Hárok1!$C$2:$C$3</c:f>
              <c:numCache>
                <c:formatCode>0.0</c:formatCode>
                <c:ptCount val="2"/>
                <c:pt idx="0">
                  <c:v>62.2</c:v>
                </c:pt>
                <c:pt idx="1">
                  <c:v>68.3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700224"/>
        <c:axId val="113702016"/>
        <c:axId val="0"/>
      </c:bar3DChart>
      <c:catAx>
        <c:axId val="1137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3702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702016"/>
        <c:scaling>
          <c:orientation val="minMax"/>
          <c:max val="100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29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3700224"/>
        <c:crosses val="autoZero"/>
        <c:crossBetween val="between"/>
      </c:valAx>
      <c:spPr>
        <a:noFill/>
        <a:ln w="23389">
          <a:noFill/>
        </a:ln>
      </c:spPr>
    </c:plotArea>
    <c:legend>
      <c:legendPos val="b"/>
      <c:layout>
        <c:manualLayout>
          <c:xMode val="edge"/>
          <c:yMode val="edge"/>
          <c:x val="0.83216442299551263"/>
          <c:y val="0.13865443078607981"/>
          <c:w val="0.12437930742528151"/>
          <c:h val="9.2709094352896607E-2"/>
        </c:manualLayout>
      </c:layout>
      <c:overlay val="0"/>
      <c:spPr>
        <a:solidFill>
          <a:srgbClr val="FFFFFF"/>
        </a:solidFill>
        <a:ln w="2924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Arial" panose="020B0604020202020204" pitchFamily="34" charset="0"/>
              <a:ea typeface="Arial"/>
              <a:cs typeface="Arial" panose="020B0604020202020204" pitchFamily="34" charset="0"/>
            </a:defRPr>
          </a:pPr>
          <a:endParaRPr lang="sk-S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50">
                <a:latin typeface="Arial" panose="020B0604020202020204" pitchFamily="34" charset="0"/>
                <a:cs typeface="Arial" panose="020B0604020202020204" pitchFamily="34" charset="0"/>
              </a:rPr>
              <a:t>Vzdelanie matky a vedomosti</a:t>
            </a:r>
            <a:r>
              <a:rPr lang="sk-SK" sz="1050" baseline="0">
                <a:latin typeface="Arial" panose="020B0604020202020204" pitchFamily="34" charset="0"/>
                <a:cs typeface="Arial" panose="020B0604020202020204" pitchFamily="34" charset="0"/>
              </a:rPr>
              <a:t> o  Dohovore o právach dieťaťa (v %)</a:t>
            </a:r>
            <a:endParaRPr lang="sk-SK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3104056437389769"/>
          <c:y val="2.114803625377643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rotY val="0"/>
      <c:rAngAx val="0"/>
      <c:perspective val="30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787073490813649"/>
          <c:y val="0.16064025461384257"/>
          <c:w val="0.94462360894208608"/>
          <c:h val="0.73716012084592142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1458507846093707E-3"/>
                  <c:y val="-5.78616157232314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8449209806221E-4"/>
                  <c:y val="-2.91400582801165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941908192327022E-3"/>
                  <c:y val="-4.1147415628164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941447478639636E-3"/>
                  <c:y val="-8.1369996073325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8583933657237143E-4"/>
                  <c:y val="4.14367495401657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Hárok1!$A$1:$E$1</c:f>
              <c:strCache>
                <c:ptCount val="5"/>
                <c:pt idx="0">
                  <c:v>základné</c:v>
                </c:pt>
                <c:pt idx="1">
                  <c:v>stredné bez mat.</c:v>
                </c:pt>
                <c:pt idx="2">
                  <c:v>stredné s mat.</c:v>
                </c:pt>
                <c:pt idx="3">
                  <c:v>vysokoškolské</c:v>
                </c:pt>
                <c:pt idx="4">
                  <c:v>neviem</c:v>
                </c:pt>
              </c:strCache>
            </c:strRef>
          </c:cat>
          <c:val>
            <c:numRef>
              <c:f>Hárok1!$A$2:$E$2</c:f>
              <c:numCache>
                <c:formatCode>0.0</c:formatCode>
                <c:ptCount val="5"/>
                <c:pt idx="0">
                  <c:v>14.9</c:v>
                </c:pt>
                <c:pt idx="1">
                  <c:v>29.8</c:v>
                </c:pt>
                <c:pt idx="2">
                  <c:v>28.8</c:v>
                </c:pt>
                <c:pt idx="3">
                  <c:v>29.6</c:v>
                </c:pt>
                <c:pt idx="4">
                  <c:v>22.3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8"/>
        <c:shape val="box"/>
        <c:axId val="113956736"/>
        <c:axId val="113958272"/>
        <c:axId val="0"/>
      </c:bar3DChart>
      <c:catAx>
        <c:axId val="113956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3958272"/>
        <c:crosses val="autoZero"/>
        <c:auto val="1"/>
        <c:lblAlgn val="ctr"/>
        <c:lblOffset val="100"/>
        <c:noMultiLvlLbl val="0"/>
      </c:catAx>
      <c:valAx>
        <c:axId val="113958272"/>
        <c:scaling>
          <c:orientation val="minMax"/>
          <c:max val="35"/>
        </c:scaling>
        <c:delete val="0"/>
        <c:axPos val="b"/>
        <c:majorGridlines>
          <c:spPr>
            <a:ln w="3175">
              <a:noFill/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395673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50">
                <a:latin typeface="Arial" panose="020B0604020202020204" pitchFamily="34" charset="0"/>
                <a:cs typeface="Arial" panose="020B0604020202020204" pitchFamily="34" charset="0"/>
              </a:rPr>
              <a:t>Vzdelanie</a:t>
            </a:r>
            <a:r>
              <a:rPr lang="sk-SK" sz="1050" baseline="0">
                <a:latin typeface="Arial" panose="020B0604020202020204" pitchFamily="34" charset="0"/>
                <a:cs typeface="Arial" panose="020B0604020202020204" pitchFamily="34" charset="0"/>
              </a:rPr>
              <a:t> otca</a:t>
            </a:r>
            <a:r>
              <a:rPr lang="sk-SK" sz="1050">
                <a:latin typeface="Arial" panose="020B0604020202020204" pitchFamily="34" charset="0"/>
                <a:cs typeface="Arial" panose="020B0604020202020204" pitchFamily="34" charset="0"/>
              </a:rPr>
              <a:t> a vedomosti</a:t>
            </a:r>
            <a:r>
              <a:rPr lang="sk-SK" sz="1050" baseline="0">
                <a:latin typeface="Arial" panose="020B0604020202020204" pitchFamily="34" charset="0"/>
                <a:cs typeface="Arial" panose="020B0604020202020204" pitchFamily="34" charset="0"/>
              </a:rPr>
              <a:t> o  Dohovore o právach dieťaťa (v %)</a:t>
            </a:r>
            <a:endParaRPr lang="sk-SK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3104056437389769"/>
          <c:y val="2.114803625377643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rotY val="0"/>
      <c:rAngAx val="0"/>
      <c:perspective val="30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546191041544419E-2"/>
          <c:y val="0.15407854984894259"/>
          <c:w val="0.94462360894208608"/>
          <c:h val="0.73716012084592142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1458507846093707E-3"/>
                  <c:y val="-4.895067128954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578628469313675E-3"/>
                  <c:y val="-8.8817601503515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941908192327022E-3"/>
                  <c:y val="-2.92710324789648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832691126375161E-5"/>
                  <c:y val="-7.83999222319432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8583933657229022E-4"/>
                  <c:y val="-5.5533953317563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Hárok1!$A$1:$E$1</c:f>
              <c:strCache>
                <c:ptCount val="5"/>
                <c:pt idx="0">
                  <c:v>základné</c:v>
                </c:pt>
                <c:pt idx="1">
                  <c:v>stredné bez mat.</c:v>
                </c:pt>
                <c:pt idx="2">
                  <c:v>stredné s mat.</c:v>
                </c:pt>
                <c:pt idx="3">
                  <c:v>vysokoškolské</c:v>
                </c:pt>
                <c:pt idx="4">
                  <c:v>neviem</c:v>
                </c:pt>
              </c:strCache>
            </c:strRef>
          </c:cat>
          <c:val>
            <c:numRef>
              <c:f>Hárok1!$A$2:$E$2</c:f>
              <c:numCache>
                <c:formatCode>0.0</c:formatCode>
                <c:ptCount val="5"/>
                <c:pt idx="0">
                  <c:v>13.7</c:v>
                </c:pt>
                <c:pt idx="1">
                  <c:v>30.2</c:v>
                </c:pt>
                <c:pt idx="2">
                  <c:v>27.4</c:v>
                </c:pt>
                <c:pt idx="3">
                  <c:v>30.7</c:v>
                </c:pt>
                <c:pt idx="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shape val="box"/>
        <c:axId val="114057216"/>
        <c:axId val="114058752"/>
        <c:axId val="0"/>
      </c:bar3DChart>
      <c:catAx>
        <c:axId val="114057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4058752"/>
        <c:crosses val="autoZero"/>
        <c:auto val="1"/>
        <c:lblAlgn val="ctr"/>
        <c:lblOffset val="100"/>
        <c:noMultiLvlLbl val="0"/>
      </c:catAx>
      <c:valAx>
        <c:axId val="114058752"/>
        <c:scaling>
          <c:orientation val="minMax"/>
        </c:scaling>
        <c:delete val="0"/>
        <c:axPos val="b"/>
        <c:majorGridlines>
          <c:spPr>
            <a:ln w="3175">
              <a:noFill/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405721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50">
                <a:latin typeface="Arial" panose="020B0604020202020204" pitchFamily="34" charset="0"/>
                <a:cs typeface="Arial" panose="020B0604020202020204" pitchFamily="34" charset="0"/>
              </a:rPr>
              <a:t>Znalosť ďalších dokumentov o ĽP (v %)</a:t>
            </a:r>
          </a:p>
        </c:rich>
      </c:tx>
      <c:layout>
        <c:manualLayout>
          <c:xMode val="edge"/>
          <c:yMode val="edge"/>
          <c:x val="0.26631398193869832"/>
          <c:y val="2.1148106486689165E-2"/>
        </c:manualLayout>
      </c:layout>
      <c:overlay val="0"/>
      <c:spPr>
        <a:noFill/>
        <a:ln w="25399">
          <a:noFill/>
        </a:ln>
      </c:spPr>
    </c:title>
    <c:autoTitleDeleted val="0"/>
    <c:view3D>
      <c:rotX val="0"/>
      <c:rotY val="0"/>
      <c:depthPercent val="100"/>
      <c:rAngAx val="0"/>
      <c:perspective val="30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4656084656084651E-2"/>
          <c:y val="0.17537954814471721"/>
          <c:w val="0.90277480314960634"/>
          <c:h val="0.5674113529926406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7.0546737213403876E-3"/>
                  <c:y val="1.0199475065616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4062316284538941E-3"/>
                  <c:y val="3.999250093738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8.44469441319834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7031158142269254E-3"/>
                  <c:y val="8.7611548556430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4062316284538507E-3"/>
                  <c:y val="-6.2294713160854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Hárok1!$A$1:$A$5</c:f>
              <c:strCache>
                <c:ptCount val="5"/>
                <c:pt idx="0">
                  <c:v>neviem</c:v>
                </c:pt>
                <c:pt idx="1">
                  <c:v>všeobecné medzinárodné dokumenty, zmluvy o ĽP</c:v>
                </c:pt>
                <c:pt idx="2">
                  <c:v>špecifické</c:v>
                </c:pt>
                <c:pt idx="3">
                  <c:v>dokumenty legislatívny (ako Ústava SR a podobne)</c:v>
                </c:pt>
                <c:pt idx="4">
                  <c:v>školský poriadok a iné</c:v>
                </c:pt>
              </c:strCache>
            </c:strRef>
          </c:cat>
          <c:val>
            <c:numRef>
              <c:f>Hárok1!$B$1:$B$5</c:f>
              <c:numCache>
                <c:formatCode>0.0</c:formatCode>
                <c:ptCount val="5"/>
                <c:pt idx="0">
                  <c:v>45.1</c:v>
                </c:pt>
                <c:pt idx="1">
                  <c:v>35.6</c:v>
                </c:pt>
                <c:pt idx="2">
                  <c:v>4.5</c:v>
                </c:pt>
                <c:pt idx="3">
                  <c:v>11.6</c:v>
                </c:pt>
                <c:pt idx="4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14085888"/>
        <c:axId val="114087424"/>
        <c:axId val="0"/>
      </c:bar3DChart>
      <c:catAx>
        <c:axId val="11408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4087424"/>
        <c:crosses val="autoZero"/>
        <c:auto val="1"/>
        <c:lblAlgn val="ctr"/>
        <c:lblOffset val="100"/>
        <c:noMultiLvlLbl val="0"/>
      </c:catAx>
      <c:valAx>
        <c:axId val="11408742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4085888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00">
                <a:latin typeface="Arial" panose="020B0604020202020204" pitchFamily="34" charset="0"/>
                <a:cs typeface="Arial" panose="020B0604020202020204" pitchFamily="34" charset="0"/>
              </a:rPr>
              <a:t>Znalosť ďalších dokumentov o ľudských</a:t>
            </a:r>
            <a:r>
              <a:rPr lang="sk-SK" sz="1000" baseline="0">
                <a:latin typeface="Arial" panose="020B0604020202020204" pitchFamily="34" charset="0"/>
                <a:cs typeface="Arial" panose="020B0604020202020204" pitchFamily="34" charset="0"/>
              </a:rPr>
              <a:t> právach</a:t>
            </a:r>
            <a:r>
              <a:rPr lang="sk-SK" sz="100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00">
                <a:latin typeface="Arial" panose="020B0604020202020204" pitchFamily="34" charset="0"/>
                <a:cs typeface="Arial" panose="020B0604020202020204" pitchFamily="34" charset="0"/>
              </a:rPr>
              <a:t>porovnanie ZŠ a SŠ (v %)</a:t>
            </a:r>
          </a:p>
        </c:rich>
      </c:tx>
      <c:layout>
        <c:manualLayout>
          <c:xMode val="edge"/>
          <c:yMode val="edge"/>
          <c:x val="0.21655501227669122"/>
          <c:y val="5.2563243424359161E-3"/>
        </c:manualLayout>
      </c:layout>
      <c:overlay val="0"/>
      <c:spPr>
        <a:noFill/>
        <a:ln w="25233">
          <a:noFill/>
        </a:ln>
      </c:spPr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  <c:spPr>
        <a:noFill/>
        <a:ln w="12616">
          <a:noFill/>
          <a:prstDash val="solid"/>
        </a:ln>
      </c:spPr>
    </c:sideWall>
    <c:backWall>
      <c:thickness val="0"/>
      <c:spPr>
        <a:noFill/>
        <a:ln w="12616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5.5500698501396994E-2"/>
          <c:y val="0.1739417546210979"/>
          <c:w val="0.90098725058561224"/>
          <c:h val="0.543150615788411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Hárok1!$B$2</c:f>
              <c:strCache>
                <c:ptCount val="1"/>
                <c:pt idx="0">
                  <c:v>zš</c:v>
                </c:pt>
              </c:strCache>
            </c:strRef>
          </c:tx>
          <c:spPr>
            <a:solidFill>
              <a:srgbClr val="00B050"/>
            </a:solidFill>
            <a:ln w="1261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-2.2401433691756271E-3"/>
                  <c:y val="-4.39753737906772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802867383512543E-3"/>
                  <c:y val="-6.6807621269563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7204301075267994E-3"/>
                  <c:y val="-4.39754058520462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802867383512543E-3"/>
                  <c:y val="5.89052525841677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33">
                <a:noFill/>
              </a:ln>
            </c:spPr>
            <c:txPr>
              <a:bodyPr/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Hárok1!$A$3:$A$7</c:f>
              <c:strCache>
                <c:ptCount val="5"/>
                <c:pt idx="0">
                  <c:v>neviem</c:v>
                </c:pt>
                <c:pt idx="1">
                  <c:v>všeobecné medzinárodné dokumenty, zmluvy o ĽP</c:v>
                </c:pt>
                <c:pt idx="2">
                  <c:v>špecifické</c:v>
                </c:pt>
                <c:pt idx="3">
                  <c:v>dokumenty legislatívy (ako Ústava SR a podobne)</c:v>
                </c:pt>
                <c:pt idx="4">
                  <c:v>školský poriadok a iné</c:v>
                </c:pt>
              </c:strCache>
            </c:strRef>
          </c:cat>
          <c:val>
            <c:numRef>
              <c:f>Hárok1!$B$3:$B$7</c:f>
              <c:numCache>
                <c:formatCode>0.0</c:formatCode>
                <c:ptCount val="5"/>
                <c:pt idx="0">
                  <c:v>44.1</c:v>
                </c:pt>
                <c:pt idx="1">
                  <c:v>40.299999999999997</c:v>
                </c:pt>
                <c:pt idx="2">
                  <c:v>6</c:v>
                </c:pt>
                <c:pt idx="3">
                  <c:v>12.5</c:v>
                </c:pt>
                <c:pt idx="4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Hárok1!$C$2</c:f>
              <c:strCache>
                <c:ptCount val="1"/>
                <c:pt idx="0">
                  <c:v>sš</c:v>
                </c:pt>
              </c:strCache>
            </c:strRef>
          </c:tx>
          <c:spPr>
            <a:solidFill>
              <a:srgbClr val="92D050"/>
            </a:solidFill>
            <a:ln w="1261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4408602150537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681003584229389E-2"/>
                  <c:y val="-9.54157350701532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401433691756271E-3"/>
                  <c:y val="-5.21977576876964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4802867383512543E-3"/>
                  <c:y val="-3.651048248598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201422402844805E-2"/>
                  <c:y val="-4.43250992042881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33">
                <a:noFill/>
              </a:ln>
            </c:spPr>
            <c:txPr>
              <a:bodyPr/>
              <a:lstStyle/>
              <a:p>
                <a:pPr>
                  <a:defRPr sz="795" b="1" i="0" u="none" strike="noStrike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Arial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Hárok1!$A$3:$A$7</c:f>
              <c:strCache>
                <c:ptCount val="5"/>
                <c:pt idx="0">
                  <c:v>neviem</c:v>
                </c:pt>
                <c:pt idx="1">
                  <c:v>všeobecné medzinárodné dokumenty, zmluvy o ĽP</c:v>
                </c:pt>
                <c:pt idx="2">
                  <c:v>špecifické</c:v>
                </c:pt>
                <c:pt idx="3">
                  <c:v>dokumenty legislatívy (ako Ústava SR a podobne)</c:v>
                </c:pt>
                <c:pt idx="4">
                  <c:v>školský poriadok a iné</c:v>
                </c:pt>
              </c:strCache>
            </c:strRef>
          </c:cat>
          <c:val>
            <c:numRef>
              <c:f>Hárok1!$C$3:$C$7</c:f>
              <c:numCache>
                <c:formatCode>0.0</c:formatCode>
                <c:ptCount val="5"/>
                <c:pt idx="0">
                  <c:v>51.9</c:v>
                </c:pt>
                <c:pt idx="1">
                  <c:v>35.5</c:v>
                </c:pt>
                <c:pt idx="2">
                  <c:v>3.6</c:v>
                </c:pt>
                <c:pt idx="3">
                  <c:v>12.1</c:v>
                </c:pt>
                <c:pt idx="4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4609152"/>
        <c:axId val="114615040"/>
        <c:axId val="0"/>
      </c:bar3DChart>
      <c:catAx>
        <c:axId val="1146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4615040"/>
        <c:crossesAt val="0"/>
        <c:auto val="1"/>
        <c:lblAlgn val="ctr"/>
        <c:lblOffset val="100"/>
        <c:noMultiLvlLbl val="0"/>
      </c:catAx>
      <c:valAx>
        <c:axId val="114615040"/>
        <c:scaling>
          <c:orientation val="minMax"/>
          <c:max val="80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4609152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1490982981965965"/>
          <c:y val="0.31911798062279251"/>
          <c:w val="0.1213487426974854"/>
          <c:h val="9.3786179124869654E-2"/>
        </c:manualLayout>
      </c:layout>
      <c:overlay val="0"/>
      <c:spPr>
        <a:solidFill>
          <a:srgbClr val="FFFFFF"/>
        </a:solidFill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Arial" panose="020B0604020202020204" pitchFamily="34" charset="0"/>
              <a:ea typeface="Arial"/>
              <a:cs typeface="Arial" panose="020B0604020202020204" pitchFamily="34" charset="0"/>
            </a:defRPr>
          </a:pPr>
          <a:endParaRPr lang="sk-S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50">
                <a:latin typeface="Arial" panose="020B0604020202020204" pitchFamily="34" charset="0"/>
                <a:cs typeface="Arial" panose="020B0604020202020204" pitchFamily="34" charset="0"/>
              </a:rPr>
              <a:t>Zdroje informácií o ĽP (v %)</a:t>
            </a:r>
          </a:p>
        </c:rich>
      </c:tx>
      <c:layout>
        <c:manualLayout>
          <c:xMode val="edge"/>
          <c:yMode val="edge"/>
          <c:x val="0.35714280681357785"/>
          <c:y val="2.1276633350124165E-2"/>
        </c:manualLayout>
      </c:layout>
      <c:overlay val="0"/>
      <c:spPr>
        <a:noFill/>
        <a:ln w="23249">
          <a:noFill/>
        </a:ln>
      </c:spPr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660022148394242E-2"/>
          <c:y val="0.13120567375886524"/>
          <c:w val="0.92564214433617964"/>
          <c:h val="0.56673851938720421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11625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Lbls>
            <c:dLbl>
              <c:idx val="0"/>
              <c:layout>
                <c:manualLayout>
                  <c:x val="8.948545861297539E-3"/>
                  <c:y val="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9485458612975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3468013468013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474449083126354E-3"/>
                  <c:y val="8.97867564534231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71158554845073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711409395973154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11856823266219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24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Hárok1!$A$1:$A$9</c:f>
              <c:strCache>
                <c:ptCount val="9"/>
                <c:pt idx="0">
                  <c:v>učitelia</c:v>
                </c:pt>
                <c:pt idx="1">
                  <c:v>spolužiaci</c:v>
                </c:pt>
                <c:pt idx="2">
                  <c:v>rodičia</c:v>
                </c:pt>
                <c:pt idx="3">
                  <c:v>súrodenci</c:v>
                </c:pt>
                <c:pt idx="4">
                  <c:v>kamaráti</c:v>
                </c:pt>
                <c:pt idx="5">
                  <c:v>médiá</c:v>
                </c:pt>
                <c:pt idx="6">
                  <c:v>internet</c:v>
                </c:pt>
                <c:pt idx="7">
                  <c:v>iný zdroj</c:v>
                </c:pt>
                <c:pt idx="8">
                  <c:v>nikto</c:v>
                </c:pt>
              </c:strCache>
            </c:strRef>
          </c:cat>
          <c:val>
            <c:numRef>
              <c:f>Hárok1!$B$1:$B$9</c:f>
              <c:numCache>
                <c:formatCode>0.0</c:formatCode>
                <c:ptCount val="9"/>
                <c:pt idx="0">
                  <c:v>86.3</c:v>
                </c:pt>
                <c:pt idx="1">
                  <c:v>6.2</c:v>
                </c:pt>
                <c:pt idx="2">
                  <c:v>54.2</c:v>
                </c:pt>
                <c:pt idx="3">
                  <c:v>6.1</c:v>
                </c:pt>
                <c:pt idx="4">
                  <c:v>8.8000000000000007</c:v>
                </c:pt>
                <c:pt idx="5">
                  <c:v>37.200000000000003</c:v>
                </c:pt>
                <c:pt idx="6">
                  <c:v>35.1</c:v>
                </c:pt>
                <c:pt idx="7">
                  <c:v>1.7</c:v>
                </c:pt>
                <c:pt idx="8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"/>
        <c:shape val="cylinder"/>
        <c:axId val="114652672"/>
        <c:axId val="114654208"/>
        <c:axId val="0"/>
      </c:bar3DChart>
      <c:catAx>
        <c:axId val="11465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06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4654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65420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290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4652672"/>
        <c:crosses val="autoZero"/>
        <c:crossBetween val="between"/>
      </c:valAx>
      <c:spPr>
        <a:noFill/>
        <a:ln w="2324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1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r>
              <a:rPr lang="sk-SK" sz="1050">
                <a:latin typeface="Arial" panose="020B0604020202020204" pitchFamily="34" charset="0"/>
                <a:cs typeface="Arial" panose="020B0604020202020204" pitchFamily="34" charset="0"/>
              </a:rPr>
              <a:t>Percentuálne zastúpenie žiakov neoboznamených s ĽP 
podľa</a:t>
            </a:r>
            <a:r>
              <a:rPr lang="sk-SK" sz="1050" baseline="0">
                <a:latin typeface="Arial" panose="020B0604020202020204" pitchFamily="34" charset="0"/>
                <a:cs typeface="Arial" panose="020B0604020202020204" pitchFamily="34" charset="0"/>
              </a:rPr>
              <a:t> ročníka štúdia (v %)</a:t>
            </a:r>
            <a:endParaRPr lang="sk-SK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0521731079911307"/>
          <c:y val="2.1428571428571429E-2"/>
        </c:manualLayout>
      </c:layout>
      <c:overlay val="0"/>
      <c:spPr>
        <a:noFill/>
        <a:ln w="2303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3043478260869571E-2"/>
          <c:y val="0.27731958762886599"/>
          <c:w val="0.91130434782608694"/>
          <c:h val="0.6842999972941527"/>
        </c:manualLayout>
      </c:layout>
      <c:lineChart>
        <c:grouping val="standard"/>
        <c:varyColors val="0"/>
        <c:ser>
          <c:idx val="0"/>
          <c:order val="0"/>
          <c:tx>
            <c:v>vek</c:v>
          </c:tx>
          <c:spPr>
            <a:ln w="11518">
              <a:solidFill>
                <a:srgbClr val="00B05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Pt>
            <c:idx val="1"/>
            <c:bubble3D val="0"/>
            <c:spPr>
              <a:ln w="19050">
                <a:solidFill>
                  <a:srgbClr val="00B050"/>
                </a:solidFill>
                <a:prstDash val="solid"/>
              </a:ln>
            </c:spPr>
          </c:dPt>
          <c:dPt>
            <c:idx val="2"/>
            <c:bubble3D val="0"/>
            <c:spPr>
              <a:ln w="19050">
                <a:solidFill>
                  <a:srgbClr val="00B050"/>
                </a:solidFill>
                <a:prstDash val="solid"/>
              </a:ln>
            </c:spPr>
          </c:dPt>
          <c:dPt>
            <c:idx val="3"/>
            <c:bubble3D val="0"/>
            <c:spPr>
              <a:ln w="19050">
                <a:solidFill>
                  <a:srgbClr val="00B050"/>
                </a:solidFill>
                <a:prstDash val="solid"/>
              </a:ln>
            </c:spPr>
          </c:dPt>
          <c:dPt>
            <c:idx val="4"/>
            <c:bubble3D val="0"/>
            <c:spPr>
              <a:ln w="19050">
                <a:solidFill>
                  <a:srgbClr val="00B050"/>
                </a:solidFill>
                <a:prstDash val="solid"/>
              </a:ln>
            </c:spPr>
          </c:dPt>
          <c:dPt>
            <c:idx val="5"/>
            <c:bubble3D val="0"/>
            <c:spPr>
              <a:ln w="19050">
                <a:solidFill>
                  <a:srgbClr val="00B05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782608695652174E-2"/>
                  <c:y val="-5.2380952380952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376811594202897E-3"/>
                  <c:y val="-4.2857142857142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463768115942031E-2"/>
                  <c:y val="-5.7142857142857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550724637681159E-2"/>
                  <c:y val="-4.2857142857142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9047619047619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35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Hárok1!$B$1:$G$1</c:f>
              <c:strCache>
                <c:ptCount val="6"/>
                <c:pt idx="0">
                  <c:v>7.</c:v>
                </c:pt>
                <c:pt idx="1">
                  <c:v>8.</c:v>
                </c:pt>
                <c:pt idx="2">
                  <c:v>9.</c:v>
                </c:pt>
                <c:pt idx="3">
                  <c:v>1.</c:v>
                </c:pt>
                <c:pt idx="4">
                  <c:v>2.</c:v>
                </c:pt>
                <c:pt idx="5">
                  <c:v>3.</c:v>
                </c:pt>
              </c:strCache>
            </c:strRef>
          </c:cat>
          <c:val>
            <c:numRef>
              <c:f>Hárok1!$B$2:$G$2</c:f>
              <c:numCache>
                <c:formatCode>0.0</c:formatCode>
                <c:ptCount val="6"/>
                <c:pt idx="0">
                  <c:v>0.6</c:v>
                </c:pt>
                <c:pt idx="1">
                  <c:v>4.5999999999999996</c:v>
                </c:pt>
                <c:pt idx="2">
                  <c:v>2.5</c:v>
                </c:pt>
                <c:pt idx="3">
                  <c:v>3.3</c:v>
                </c:pt>
                <c:pt idx="4">
                  <c:v>5.7</c:v>
                </c:pt>
                <c:pt idx="5">
                  <c:v>10.5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807744"/>
        <c:axId val="115809280"/>
      </c:lineChart>
      <c:catAx>
        <c:axId val="11580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8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5809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809280"/>
        <c:scaling>
          <c:orientation val="minMax"/>
          <c:max val="12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28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sk-SK"/>
          </a:p>
        </c:txPr>
        <c:crossAx val="115807744"/>
        <c:crosses val="autoZero"/>
        <c:crossBetween val="between"/>
      </c:valAx>
      <c:spPr>
        <a:noFill/>
        <a:ln w="2303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B5DE3B-2AA1-4F39-9DCE-878CB7A9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Bielikova</dc:creator>
  <cp:lastModifiedBy>Marcela Bielikova</cp:lastModifiedBy>
  <cp:revision>2</cp:revision>
  <dcterms:created xsi:type="dcterms:W3CDTF">2017-05-16T07:04:00Z</dcterms:created>
  <dcterms:modified xsi:type="dcterms:W3CDTF">2017-05-16T07:04:00Z</dcterms:modified>
</cp:coreProperties>
</file>